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97" w:rsidRDefault="00EE34F1" w:rsidP="0000006B">
      <w:pPr>
        <w:spacing w:after="120"/>
        <w:jc w:val="center"/>
        <w:rPr>
          <w:rFonts w:ascii="Verdana" w:hAnsi="Verdana"/>
          <w:b/>
        </w:rPr>
      </w:pPr>
      <w:bookmarkStart w:id="0" w:name="_GoBack"/>
      <w:bookmarkEnd w:id="0"/>
      <w:r w:rsidRPr="003877F2">
        <w:rPr>
          <w:rFonts w:ascii="Verdana" w:hAnsi="Verdana"/>
          <w:b/>
        </w:rPr>
        <w:t>PROJETO DE LEI N° ____/</w:t>
      </w:r>
      <w:r w:rsidR="00110628">
        <w:rPr>
          <w:rFonts w:ascii="Verdana" w:hAnsi="Verdana"/>
          <w:b/>
        </w:rPr>
        <w:t>2017</w:t>
      </w:r>
    </w:p>
    <w:p w:rsidR="003877F2" w:rsidRDefault="003877F2" w:rsidP="0000006B">
      <w:pPr>
        <w:spacing w:after="120"/>
        <w:ind w:left="3402"/>
        <w:jc w:val="both"/>
        <w:rPr>
          <w:rFonts w:ascii="Verdana" w:hAnsi="Verdana"/>
        </w:rPr>
      </w:pPr>
    </w:p>
    <w:p w:rsidR="0000006B" w:rsidRPr="0000006B" w:rsidRDefault="0000006B" w:rsidP="0000006B">
      <w:pPr>
        <w:spacing w:after="120"/>
        <w:ind w:left="3402"/>
        <w:jc w:val="both"/>
        <w:rPr>
          <w:rFonts w:ascii="Verdana" w:hAnsi="Verdana"/>
        </w:rPr>
      </w:pPr>
      <w:r w:rsidRPr="0000006B">
        <w:rPr>
          <w:rFonts w:ascii="Verdana" w:hAnsi="Verdana"/>
        </w:rPr>
        <w:t xml:space="preserve">Institui o Registro Estadual de Propriedade de Arma de Fogo (REPAF) e o Porte Estadual de Arma de Fogo (PEAF) expedidos pela Polícia Civil do Estado </w:t>
      </w:r>
      <w:r>
        <w:rPr>
          <w:rFonts w:ascii="Verdana" w:hAnsi="Verdana"/>
        </w:rPr>
        <w:t>do</w:t>
      </w:r>
      <w:r w:rsidRPr="0000006B">
        <w:rPr>
          <w:rFonts w:ascii="Verdana" w:hAnsi="Verdana"/>
        </w:rPr>
        <w:t xml:space="preserve"> </w:t>
      </w:r>
      <w:r>
        <w:rPr>
          <w:rFonts w:ascii="Verdana" w:hAnsi="Verdana"/>
        </w:rPr>
        <w:t>Maranhão</w:t>
      </w:r>
      <w:r w:rsidR="00203018">
        <w:rPr>
          <w:rFonts w:ascii="Verdana" w:hAnsi="Verdana"/>
        </w:rPr>
        <w:t>, para as autoridades que especifica</w:t>
      </w:r>
      <w:r w:rsidRPr="0000006B">
        <w:rPr>
          <w:rFonts w:ascii="Verdana" w:hAnsi="Verdana"/>
        </w:rPr>
        <w:t>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</w:p>
    <w:p w:rsidR="00203018" w:rsidRDefault="00203018" w:rsidP="0000006B">
      <w:pPr>
        <w:spacing w:after="120"/>
        <w:ind w:firstLine="1134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Art. 1º </w:t>
      </w:r>
      <w:r w:rsidRPr="00203018">
        <w:rPr>
          <w:rFonts w:ascii="Verdana" w:hAnsi="Verdana"/>
        </w:rPr>
        <w:t>Fica</w:t>
      </w:r>
      <w:r>
        <w:rPr>
          <w:rFonts w:ascii="Verdana" w:hAnsi="Verdana"/>
        </w:rPr>
        <w:t>m</w:t>
      </w:r>
      <w:r w:rsidRPr="0020301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instituídos o </w:t>
      </w:r>
      <w:r w:rsidRPr="0000006B">
        <w:rPr>
          <w:rFonts w:ascii="Verdana" w:hAnsi="Verdana"/>
        </w:rPr>
        <w:t xml:space="preserve">Registro Estadual de Propriedade de Arma de Fogo (REPAF) e o Porte Estadual de Arma de Fogo (PEAF) expedidos pela Polícia Civil do Estado </w:t>
      </w:r>
      <w:r>
        <w:rPr>
          <w:rFonts w:ascii="Verdana" w:hAnsi="Verdana"/>
        </w:rPr>
        <w:t>do</w:t>
      </w:r>
      <w:r w:rsidRPr="0000006B">
        <w:rPr>
          <w:rFonts w:ascii="Verdana" w:hAnsi="Verdana"/>
        </w:rPr>
        <w:t xml:space="preserve"> </w:t>
      </w:r>
      <w:r>
        <w:rPr>
          <w:rFonts w:ascii="Verdana" w:hAnsi="Verdana"/>
        </w:rPr>
        <w:t>Maranhão, para Deputados (as) e ex-Deputados (as) estaduais do Maranhão, Conselheiros (as) e ex-Conselheiros (as) do Tribunal de Contas do Estado do Maranhão, Juízes (as) e ex-Juízes (as) estaduais do Maranhão, membros e ex-membros do Ministério Público do Estado do Maranhão, Procuradores (as) e ex-Procuradores (as) da Procuradoria-Geral do Estado do Maranhão, e Defensores e ex-Defensores Públicos do Estado do Maranhão.</w:t>
      </w:r>
    </w:p>
    <w:p w:rsidR="00BE617B" w:rsidRDefault="00BE617B" w:rsidP="0000006B">
      <w:pPr>
        <w:spacing w:after="120"/>
        <w:ind w:firstLine="1134"/>
        <w:jc w:val="both"/>
        <w:rPr>
          <w:rFonts w:ascii="Verdana" w:hAnsi="Verdana"/>
          <w:b/>
        </w:rPr>
      </w:pP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  <w:b/>
        </w:rPr>
        <w:t xml:space="preserve">Art. </w:t>
      </w:r>
      <w:r w:rsidR="00BE617B">
        <w:rPr>
          <w:rFonts w:ascii="Verdana" w:hAnsi="Verdana"/>
          <w:b/>
        </w:rPr>
        <w:t>2</w:t>
      </w:r>
      <w:r w:rsidRPr="0000006B">
        <w:rPr>
          <w:rFonts w:ascii="Verdana" w:hAnsi="Verdana"/>
          <w:b/>
        </w:rPr>
        <w:t>º</w:t>
      </w:r>
      <w:r w:rsidRPr="0000006B">
        <w:rPr>
          <w:rFonts w:ascii="Verdana" w:hAnsi="Verdana"/>
        </w:rPr>
        <w:t xml:space="preserve"> Fica instituído o Registro Estadual de Propriedade de Arma de Fogo </w:t>
      </w:r>
      <w:r>
        <w:rPr>
          <w:rFonts w:ascii="Verdana" w:hAnsi="Verdana"/>
        </w:rPr>
        <w:t>do Maranhão</w:t>
      </w:r>
      <w:r w:rsidRPr="0000006B">
        <w:rPr>
          <w:rFonts w:ascii="Verdana" w:hAnsi="Verdana"/>
        </w:rPr>
        <w:t xml:space="preserve"> – REPAF/</w:t>
      </w:r>
      <w:r>
        <w:rPr>
          <w:rFonts w:ascii="Verdana" w:hAnsi="Verdana"/>
        </w:rPr>
        <w:t>MA</w:t>
      </w:r>
      <w:r w:rsidR="00BE617B">
        <w:rPr>
          <w:rFonts w:ascii="Verdana" w:hAnsi="Verdana"/>
        </w:rPr>
        <w:t>, expedido pela Polícia Civil do Estado do Maranhão, tendo validade em todo o seu território</w:t>
      </w:r>
      <w:r w:rsidRPr="0000006B">
        <w:rPr>
          <w:rFonts w:ascii="Verdana" w:hAnsi="Verdana"/>
        </w:rPr>
        <w:t>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  <w:b/>
        </w:rPr>
        <w:t xml:space="preserve">Art. </w:t>
      </w:r>
      <w:r w:rsidR="00BE617B">
        <w:rPr>
          <w:rFonts w:ascii="Verdana" w:hAnsi="Verdana"/>
          <w:b/>
        </w:rPr>
        <w:t>3</w:t>
      </w:r>
      <w:r w:rsidRPr="0000006B">
        <w:rPr>
          <w:rFonts w:ascii="Verdana" w:hAnsi="Verdana"/>
          <w:b/>
        </w:rPr>
        <w:t>º</w:t>
      </w:r>
      <w:r w:rsidRPr="0000006B">
        <w:rPr>
          <w:rFonts w:ascii="Verdana" w:hAnsi="Verdana"/>
        </w:rPr>
        <w:t xml:space="preserve"> Para adquirir arma de fogo de uso permitido o interessado deverá atender aos seguintes requisitos: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I – comprovação de idoneidade com a apresentação de certidões de antecedentes criminais fornecidas pelas Justiças Federal, Estadual, Militar e Eleitoral;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II – apresentação de documento comprobatório de ocupação lícita e de residência certa;</w:t>
      </w:r>
    </w:p>
    <w:p w:rsid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III – comprovação de capacidade técnica e de aptidão psicológica para o manuseio de arma de fogo, atestadas na forma disposta no regulamento desta lei.</w:t>
      </w:r>
    </w:p>
    <w:p w:rsidR="00BE617B" w:rsidRPr="0000006B" w:rsidRDefault="00BE617B" w:rsidP="0000006B">
      <w:pPr>
        <w:spacing w:after="120"/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>IV – certidão emitida pela instituição à qual está ou estava vinculado, atestando o vínculo institucional.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 xml:space="preserve">§ 1º </w:t>
      </w:r>
      <w:r w:rsidR="00203018">
        <w:rPr>
          <w:rFonts w:ascii="Verdana" w:hAnsi="Verdana"/>
        </w:rPr>
        <w:t xml:space="preserve">A Polícia Civil do Estado do Maranhão </w:t>
      </w:r>
      <w:r w:rsidRPr="0000006B">
        <w:rPr>
          <w:rFonts w:ascii="Verdana" w:hAnsi="Verdana"/>
        </w:rPr>
        <w:t xml:space="preserve">expedirá autorização de compra de arma de fogo após atendidos os requisitos </w:t>
      </w:r>
      <w:r w:rsidRPr="0000006B">
        <w:rPr>
          <w:rFonts w:ascii="Verdana" w:hAnsi="Verdana"/>
        </w:rPr>
        <w:lastRenderedPageBreak/>
        <w:t>anteriormente estabelecidos, em nome do requerente e para a arma indicada, sendo intransferível esta autorização.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§ 2º A aquisição de munição somente poderá ser feita no calibre correspondente à arma adquirida.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§ 3º A empresa que comercia</w:t>
      </w:r>
      <w:r w:rsidR="00203018">
        <w:rPr>
          <w:rFonts w:ascii="Verdana" w:hAnsi="Verdana"/>
        </w:rPr>
        <w:t xml:space="preserve">lizar arma de fogo no Estado do Maranhão </w:t>
      </w:r>
      <w:r w:rsidRPr="0000006B">
        <w:rPr>
          <w:rFonts w:ascii="Verdana" w:hAnsi="Verdana"/>
        </w:rPr>
        <w:t xml:space="preserve">é obrigada a comunicar a venda à autoridade estadual competente, como também a manter banco de dados com todas as características da arma e cópia dos documentos previstos neste artigo. 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§ 4º A empresa que comercializa armas de fogo, acessórios e munições responde legalmente por essas mercadorias, ficando registradas como de sua propriedade enquanto não forem vendidas.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§ 5º A comercialização de armas de fogo, acessórios e munições entre pessoas físicas somente será efetivada mediante autorização da Polícia Civil do Estado d</w:t>
      </w:r>
      <w:r w:rsidR="00203018">
        <w:rPr>
          <w:rFonts w:ascii="Verdana" w:hAnsi="Verdana"/>
        </w:rPr>
        <w:t>o Maranhão</w:t>
      </w:r>
      <w:r w:rsidRPr="0000006B">
        <w:rPr>
          <w:rFonts w:ascii="Verdana" w:hAnsi="Verdana"/>
        </w:rPr>
        <w:t>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§ 6º A expedição da autorização a que se refere o § 1º será concedida, ou recusada com a devida fundamentação, no prazo de 30 (trinta) dias úteis, a contar da data do requerimento do interessado.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§ 7º O registro precário a que se refere o § 4º prescinde do cumprimento dos requisitos dos incisos I, II e III deste artigo.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  <w:b/>
        </w:rPr>
        <w:t xml:space="preserve">Art. </w:t>
      </w:r>
      <w:r w:rsidR="00BE617B">
        <w:rPr>
          <w:rFonts w:ascii="Verdana" w:hAnsi="Verdana"/>
          <w:b/>
        </w:rPr>
        <w:t>4</w:t>
      </w:r>
      <w:r w:rsidRPr="0000006B">
        <w:rPr>
          <w:rFonts w:ascii="Verdana" w:hAnsi="Verdana"/>
          <w:b/>
        </w:rPr>
        <w:t xml:space="preserve">º </w:t>
      </w:r>
      <w:r w:rsidRPr="0000006B">
        <w:rPr>
          <w:rFonts w:ascii="Verdana" w:hAnsi="Verdana"/>
        </w:rPr>
        <w:t>O Porte Estadual de Armas de Fogo – PEAF, com validade em todo território do Estado d</w:t>
      </w:r>
      <w:r w:rsidR="00203018">
        <w:rPr>
          <w:rFonts w:ascii="Verdana" w:hAnsi="Verdana"/>
        </w:rPr>
        <w:t>o Maranhão</w:t>
      </w:r>
      <w:r w:rsidRPr="0000006B">
        <w:rPr>
          <w:rFonts w:ascii="Verdana" w:hAnsi="Verdana"/>
        </w:rPr>
        <w:t xml:space="preserve">, a ser expedido pela Polícia Civil do Estado, </w:t>
      </w:r>
      <w:r w:rsidR="0020273B">
        <w:rPr>
          <w:rFonts w:ascii="Verdana" w:hAnsi="Verdana"/>
        </w:rPr>
        <w:t>cumpridos os requisitos</w:t>
      </w:r>
      <w:r w:rsidRPr="0000006B">
        <w:rPr>
          <w:rFonts w:ascii="Verdana" w:hAnsi="Verdana"/>
        </w:rPr>
        <w:t xml:space="preserve"> do</w:t>
      </w:r>
      <w:r w:rsidR="0020273B">
        <w:rPr>
          <w:rFonts w:ascii="Verdana" w:hAnsi="Verdana"/>
        </w:rPr>
        <w:t xml:space="preserve"> </w:t>
      </w:r>
      <w:r w:rsidRPr="0000006B">
        <w:rPr>
          <w:rFonts w:ascii="Verdana" w:hAnsi="Verdana"/>
        </w:rPr>
        <w:t>artigo 2º.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§ 1º O Porte Estadual de Arma de Fogo terá validade de no mínimo 5 (cinco) e no máximo 10 (dez) anos.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§ 2º A emissão e a renovação do PEAF não acarretarão custos para o proprietário de arma de fogo.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§ 3º O possuidor do PEAF poderá portar qualquer arma que esteja devidamente registrada em seu nome.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§ 4º A Polícia Civil do Estado d</w:t>
      </w:r>
      <w:r w:rsidR="00203018">
        <w:rPr>
          <w:rFonts w:ascii="Verdana" w:hAnsi="Verdana"/>
        </w:rPr>
        <w:t>o Maranhão</w:t>
      </w:r>
      <w:r w:rsidRPr="0000006B">
        <w:rPr>
          <w:rFonts w:ascii="Verdana" w:hAnsi="Verdana"/>
        </w:rPr>
        <w:t xml:space="preserve"> expedirá autorização de porte de arma de fogo após atendidos os requisitos anteriormente estabelecidos, em nome do requerente.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§ 5º A expedição de autorização de porte de arma de fogo será concedida, ou recusada com a devida fundamentação, no prazo de 30 (trinta) dias úteis, a contar da data do requerimento do interessado.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  <w:b/>
        </w:rPr>
        <w:t xml:space="preserve">Art. </w:t>
      </w:r>
      <w:r w:rsidR="00BE617B">
        <w:rPr>
          <w:rFonts w:ascii="Verdana" w:hAnsi="Verdana"/>
          <w:b/>
        </w:rPr>
        <w:t>5</w:t>
      </w:r>
      <w:r w:rsidRPr="0000006B">
        <w:rPr>
          <w:rFonts w:ascii="Verdana" w:hAnsi="Verdana"/>
          <w:b/>
        </w:rPr>
        <w:t xml:space="preserve">º </w:t>
      </w:r>
      <w:r w:rsidRPr="0000006B">
        <w:rPr>
          <w:rFonts w:ascii="Verdana" w:hAnsi="Verdana"/>
        </w:rPr>
        <w:t>A Polícia Civil do Estado d</w:t>
      </w:r>
      <w:r w:rsidR="00203018">
        <w:rPr>
          <w:rFonts w:ascii="Verdana" w:hAnsi="Verdana"/>
        </w:rPr>
        <w:t>o Maranhão</w:t>
      </w:r>
      <w:r w:rsidRPr="0000006B">
        <w:rPr>
          <w:rFonts w:ascii="Verdana" w:hAnsi="Verdana"/>
        </w:rPr>
        <w:t xml:space="preserve"> deverá comunicar ao Sistema Nacional de Armas – Sinarm, as emissões e renovações dos Registros Estaduais de Propriedade de Armas de Fogo, bem como as emissões e renovações dos Portes Estaduais de Armas de Fogo.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</w:p>
    <w:p w:rsid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  <w:b/>
        </w:rPr>
        <w:t xml:space="preserve">Art. </w:t>
      </w:r>
      <w:r w:rsidR="00BE617B">
        <w:rPr>
          <w:rFonts w:ascii="Verdana" w:hAnsi="Verdana"/>
          <w:b/>
        </w:rPr>
        <w:t>6</w:t>
      </w:r>
      <w:r w:rsidRPr="0000006B">
        <w:rPr>
          <w:rFonts w:ascii="Verdana" w:hAnsi="Verdana"/>
          <w:b/>
        </w:rPr>
        <w:t xml:space="preserve">º </w:t>
      </w:r>
      <w:r w:rsidRPr="0000006B">
        <w:rPr>
          <w:rFonts w:ascii="Verdana" w:hAnsi="Verdana"/>
        </w:rPr>
        <w:t>Esta lei entra em vigor na data de sua publicação.</w:t>
      </w:r>
    </w:p>
    <w:p w:rsidR="00203018" w:rsidRDefault="00203018" w:rsidP="0000006B">
      <w:pPr>
        <w:spacing w:after="120"/>
        <w:ind w:firstLine="1134"/>
        <w:jc w:val="both"/>
        <w:rPr>
          <w:rFonts w:ascii="Verdana" w:hAnsi="Verdana"/>
        </w:rPr>
      </w:pPr>
    </w:p>
    <w:p w:rsidR="00203018" w:rsidRPr="00FA7AE2" w:rsidRDefault="00203018" w:rsidP="00203018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MARCOS CALDAS</w:t>
      </w:r>
    </w:p>
    <w:p w:rsidR="0000006B" w:rsidRDefault="00203018" w:rsidP="00203018">
      <w:pPr>
        <w:spacing w:after="120"/>
        <w:jc w:val="center"/>
        <w:rPr>
          <w:rFonts w:ascii="Verdana" w:hAnsi="Verdana"/>
        </w:rPr>
      </w:pPr>
      <w:r w:rsidRPr="00FA7AE2">
        <w:rPr>
          <w:rFonts w:ascii="Verdana" w:hAnsi="Verdana"/>
        </w:rPr>
        <w:t>Deputado Estadua</w:t>
      </w:r>
      <w:r>
        <w:rPr>
          <w:rFonts w:ascii="Verdana" w:hAnsi="Verdana"/>
        </w:rPr>
        <w:t>l</w:t>
      </w:r>
      <w:r w:rsidR="0000006B">
        <w:rPr>
          <w:rFonts w:ascii="Verdana" w:hAnsi="Verdana"/>
        </w:rPr>
        <w:br w:type="page"/>
      </w:r>
    </w:p>
    <w:p w:rsidR="0000006B" w:rsidRPr="0020273B" w:rsidRDefault="0000006B" w:rsidP="0000006B">
      <w:pPr>
        <w:spacing w:after="120"/>
        <w:jc w:val="center"/>
        <w:rPr>
          <w:rFonts w:ascii="Verdana" w:hAnsi="Verdana"/>
          <w:b/>
        </w:rPr>
      </w:pPr>
      <w:r w:rsidRPr="0020273B">
        <w:rPr>
          <w:rFonts w:ascii="Verdana" w:hAnsi="Verdana"/>
          <w:b/>
        </w:rPr>
        <w:lastRenderedPageBreak/>
        <w:t>JUSTIFICATIVA</w:t>
      </w:r>
    </w:p>
    <w:p w:rsid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</w:p>
    <w:p w:rsid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 xml:space="preserve">A realização do referendo sobre a manutenção ou não do comércio legal de armas de fogo e munição, em 23 de outubro de 2005, levou aproximadamente 95 milhões de eleitores brasileiros às urnas. Destes, cerca de 60 milhões votaram pela manutenção do comércio legal e 33 milhões pela proibição. Em termos percentuais, 63,94% dos eleitores brasileiros votaram não à proibição e apenas 36% votaram a favor da proibição. </w:t>
      </w:r>
    </w:p>
    <w:p w:rsid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 xml:space="preserve">Como efeito, a forma federativa de Estado é uma cláusula pétrea de nossa Constituição (art. 1º, caput, c/c art. 60, § 4º). O presente projeto de lei tem por escopo fazer cumprir o princípio federativo na medida em que garante ao Governo do Estado a competência administrativa para o exercício do poder de regulamentar e fiscalizar a comercialização de armas de fogo e munição, ou seja, o seu poder de polícia, conforme os preceitos constitucionais. 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Os Estados organizam-se e regem-se pelas Constituições e leis que adotarem, observados os princípios da Constituição Federal, sendo-lhes reservadas as competências que não lhes sejam vedadas pela mesma Constituição (CF, art 25, caput e § 1º).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A ninguém ocorreria cogitar que aos Estados veda-se o exercício do poder de polícia. A não ser nas matérias indicadas no § 1º do art. 144 da Carta Magna, a competência residual dos Estados em matéria de segurança pública e do correlato poder de polícia exerce-se de modo amplo, inclusive com o exercício da emissão de licenças para porte de arma de fogo, conforme permissivo da competência residual dos estados prevista no § 1º do art. 25 da Lei Maior.</w:t>
      </w:r>
    </w:p>
    <w:p w:rsidR="0000006B" w:rsidRPr="0000006B" w:rsidRDefault="00894EA6" w:rsidP="0000006B">
      <w:pPr>
        <w:spacing w:after="120"/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00006B" w:rsidRPr="0000006B">
        <w:rPr>
          <w:rFonts w:ascii="Verdana" w:hAnsi="Verdana"/>
        </w:rPr>
        <w:t>s armas de fogo não-bélicas podem sujeitar-se ao poder de polícia das administrações estaduais, nos termos da lei.</w:t>
      </w:r>
      <w:r>
        <w:rPr>
          <w:rFonts w:ascii="Verdana" w:hAnsi="Verdana"/>
        </w:rPr>
        <w:t xml:space="preserve"> S</w:t>
      </w:r>
      <w:r w:rsidR="0000006B" w:rsidRPr="0000006B">
        <w:rPr>
          <w:rFonts w:ascii="Verdana" w:hAnsi="Verdana"/>
        </w:rPr>
        <w:t>omente permite</w:t>
      </w:r>
      <w:r>
        <w:rPr>
          <w:rFonts w:ascii="Verdana" w:hAnsi="Verdana"/>
        </w:rPr>
        <w:t>-se</w:t>
      </w:r>
      <w:r w:rsidR="0000006B" w:rsidRPr="0000006B">
        <w:rPr>
          <w:rFonts w:ascii="Verdana" w:hAnsi="Verdana"/>
        </w:rPr>
        <w:t xml:space="preserve"> limitação e disciplina do exercício de direito, interesse ou liberdade, ou ainda, a regulamentação da prática de atos ou abstenção de fatos, nos termos da lei, que poderá, neste caso ser uma lei estadual, editada para atender às peculiaridades locais.</w:t>
      </w:r>
    </w:p>
    <w:p w:rsidR="0000006B" w:rsidRPr="0000006B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 xml:space="preserve">É da competência concorrente da União e dos Estados legislar sobre produção e consumo (CF, art. 24, V), caso em que a competência da União limita-se a estabelecer normas gerais. Ora, a competência para normas gerais, não exclui a competência suplementar do estado (CF, art. 24, §§ 1º e 2º), como decidiu, à </w:t>
      </w:r>
      <w:r w:rsidRPr="0000006B">
        <w:rPr>
          <w:rFonts w:ascii="Verdana" w:hAnsi="Verdana"/>
        </w:rPr>
        <w:lastRenderedPageBreak/>
        <w:t>unanimidade, o Supremo Tribunal Federal na ADIn nº 2.035-9-RJ, rel. o eminente Ministro Octávio Gallotti, in D.J. 04/08/2000.</w:t>
      </w:r>
    </w:p>
    <w:p w:rsidR="00AE58B2" w:rsidRDefault="0000006B" w:rsidP="0000006B">
      <w:pPr>
        <w:spacing w:after="120"/>
        <w:ind w:firstLine="1134"/>
        <w:jc w:val="both"/>
        <w:rPr>
          <w:rFonts w:ascii="Verdana" w:hAnsi="Verdana"/>
        </w:rPr>
      </w:pPr>
      <w:r w:rsidRPr="0000006B">
        <w:rPr>
          <w:rFonts w:ascii="Verdana" w:hAnsi="Verdana"/>
        </w:rPr>
        <w:t>Pelo respeito ao princípio federativo garantido pela Constituição da República Federativa do Brasil é que peço o apoio deste projeto pelos meus nobres pares.</w:t>
      </w:r>
    </w:p>
    <w:p w:rsidR="00AE58B2" w:rsidRPr="003C18D0" w:rsidRDefault="00AE58B2" w:rsidP="0000006B">
      <w:pPr>
        <w:spacing w:after="120"/>
        <w:ind w:firstLine="1134"/>
        <w:jc w:val="both"/>
        <w:rPr>
          <w:rFonts w:ascii="Verdana" w:hAnsi="Verdana"/>
        </w:rPr>
      </w:pPr>
      <w:r>
        <w:rPr>
          <w:rFonts w:ascii="Verdana" w:hAnsi="Verdana"/>
        </w:rPr>
        <w:t xml:space="preserve">Sala das Comissões, </w:t>
      </w:r>
      <w:r w:rsidR="0000006B">
        <w:rPr>
          <w:rFonts w:ascii="Verdana" w:hAnsi="Verdana"/>
        </w:rPr>
        <w:t>09</w:t>
      </w:r>
      <w:r>
        <w:rPr>
          <w:rFonts w:ascii="Verdana" w:hAnsi="Verdana"/>
        </w:rPr>
        <w:t xml:space="preserve"> de </w:t>
      </w:r>
      <w:r w:rsidR="0000006B">
        <w:rPr>
          <w:rFonts w:ascii="Verdana" w:hAnsi="Verdana"/>
        </w:rPr>
        <w:t>agosto</w:t>
      </w:r>
      <w:r>
        <w:rPr>
          <w:rFonts w:ascii="Verdana" w:hAnsi="Verdana"/>
        </w:rPr>
        <w:t xml:space="preserve"> de 2017.</w:t>
      </w:r>
    </w:p>
    <w:p w:rsidR="00AE58B2" w:rsidRDefault="00AE58B2" w:rsidP="0000006B">
      <w:pPr>
        <w:spacing w:after="120"/>
        <w:ind w:firstLine="1134"/>
        <w:jc w:val="both"/>
        <w:rPr>
          <w:rFonts w:ascii="Verdana" w:hAnsi="Verdana"/>
        </w:rPr>
      </w:pPr>
    </w:p>
    <w:p w:rsidR="00B61E53" w:rsidRPr="00FA7AE2" w:rsidRDefault="0000006B" w:rsidP="0000006B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MARCOS CALDAS</w:t>
      </w:r>
    </w:p>
    <w:p w:rsidR="00B61E53" w:rsidRPr="00FA7AE2" w:rsidRDefault="00B61E53" w:rsidP="0000006B">
      <w:pPr>
        <w:spacing w:after="120"/>
        <w:jc w:val="center"/>
        <w:rPr>
          <w:rFonts w:ascii="Verdana" w:hAnsi="Verdana"/>
        </w:rPr>
      </w:pPr>
      <w:r w:rsidRPr="00FA7AE2">
        <w:rPr>
          <w:rFonts w:ascii="Verdana" w:hAnsi="Verdana"/>
        </w:rPr>
        <w:t>Deputado Estadual</w:t>
      </w:r>
    </w:p>
    <w:sectPr w:rsidR="00B61E53" w:rsidRPr="00FA7AE2" w:rsidSect="00E766AA">
      <w:headerReference w:type="default" r:id="rId8"/>
      <w:footerReference w:type="defaul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91" w:rsidRDefault="008F1191" w:rsidP="00E766AA">
      <w:r>
        <w:separator/>
      </w:r>
    </w:p>
  </w:endnote>
  <w:endnote w:type="continuationSeparator" w:id="0">
    <w:p w:rsidR="008F1191" w:rsidRDefault="008F1191" w:rsidP="00E7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2699"/>
      <w:docPartObj>
        <w:docPartGallery w:val="Page Numbers (Bottom of Page)"/>
        <w:docPartUnique/>
      </w:docPartObj>
    </w:sdtPr>
    <w:sdtEndPr/>
    <w:sdtContent>
      <w:p w:rsidR="0067707C" w:rsidRDefault="00BB655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07C" w:rsidRDefault="006770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91" w:rsidRDefault="008F1191" w:rsidP="00E766AA">
      <w:r>
        <w:separator/>
      </w:r>
    </w:p>
  </w:footnote>
  <w:footnote w:type="continuationSeparator" w:id="0">
    <w:p w:rsidR="008F1191" w:rsidRDefault="008F1191" w:rsidP="00E7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AA" w:rsidRDefault="00E766AA" w:rsidP="002B729C">
    <w:pPr>
      <w:pStyle w:val="Cabealho"/>
      <w:tabs>
        <w:tab w:val="left" w:pos="5360"/>
      </w:tabs>
      <w:spacing w:line="0" w:lineRule="atLeast"/>
      <w:jc w:val="center"/>
      <w:rPr>
        <w:noProof/>
      </w:rPr>
    </w:pPr>
    <w:r>
      <w:rPr>
        <w:noProof/>
      </w:rPr>
      <w:drawing>
        <wp:inline distT="0" distB="0" distL="0" distR="0" wp14:anchorId="0B8F6F90" wp14:editId="18B7B132">
          <wp:extent cx="527050" cy="603250"/>
          <wp:effectExtent l="19050" t="0" r="635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66AA" w:rsidRPr="002B729C" w:rsidRDefault="00E766AA" w:rsidP="00E766AA">
    <w:pPr>
      <w:pStyle w:val="Cabealho"/>
      <w:spacing w:line="192" w:lineRule="auto"/>
      <w:jc w:val="center"/>
      <w:rPr>
        <w:rFonts w:ascii="Verdana" w:hAnsi="Verdana"/>
        <w:b/>
        <w:sz w:val="20"/>
        <w:szCs w:val="20"/>
      </w:rPr>
    </w:pPr>
    <w:r w:rsidRPr="002B729C">
      <w:rPr>
        <w:rFonts w:ascii="Verdana" w:hAnsi="Verdana"/>
        <w:b/>
        <w:sz w:val="20"/>
        <w:szCs w:val="20"/>
      </w:rPr>
      <w:t>ESTADO DO MARANHÃO</w:t>
    </w:r>
  </w:p>
  <w:p w:rsidR="00E766AA" w:rsidRPr="002B729C" w:rsidRDefault="00CA1848" w:rsidP="00E766AA">
    <w:pPr>
      <w:pStyle w:val="Cabealho"/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>Assemble</w:t>
    </w:r>
    <w:r w:rsidR="00E766AA" w:rsidRPr="002B729C">
      <w:rPr>
        <w:rFonts w:ascii="Verdana" w:hAnsi="Verdana"/>
        <w:sz w:val="20"/>
        <w:szCs w:val="20"/>
      </w:rPr>
      <w:t>ia Legislativa</w:t>
    </w:r>
  </w:p>
  <w:p w:rsidR="00EE34F1" w:rsidRDefault="000F35C9" w:rsidP="00EE34F1">
    <w:pPr>
      <w:jc w:val="center"/>
      <w:rPr>
        <w:rFonts w:ascii="Verdana" w:hAnsi="Verdana"/>
        <w:sz w:val="20"/>
        <w:szCs w:val="20"/>
      </w:rPr>
    </w:pPr>
    <w:r w:rsidRPr="002B729C">
      <w:rPr>
        <w:rFonts w:ascii="Verdana" w:hAnsi="Verdana"/>
        <w:sz w:val="20"/>
        <w:szCs w:val="20"/>
      </w:rPr>
      <w:t xml:space="preserve">Deputado Estadual </w:t>
    </w:r>
    <w:r w:rsidR="00882E47">
      <w:rPr>
        <w:rFonts w:ascii="Verdana" w:hAnsi="Verdana"/>
        <w:sz w:val="20"/>
        <w:szCs w:val="20"/>
      </w:rPr>
      <w:t>Marcos Caldas</w:t>
    </w:r>
  </w:p>
  <w:p w:rsidR="00E766AA" w:rsidRDefault="00E766AA" w:rsidP="00EE34F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5550"/>
    <w:multiLevelType w:val="multilevel"/>
    <w:tmpl w:val="4C7C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D636F"/>
    <w:multiLevelType w:val="hybridMultilevel"/>
    <w:tmpl w:val="88000F0C"/>
    <w:lvl w:ilvl="0" w:tplc="EB0CE3B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AA"/>
    <w:rsid w:val="0000006B"/>
    <w:rsid w:val="00000543"/>
    <w:rsid w:val="000026B9"/>
    <w:rsid w:val="000422EC"/>
    <w:rsid w:val="000506FE"/>
    <w:rsid w:val="000B4073"/>
    <w:rsid w:val="000F35C9"/>
    <w:rsid w:val="00110628"/>
    <w:rsid w:val="0012508C"/>
    <w:rsid w:val="0019707E"/>
    <w:rsid w:val="001A18C5"/>
    <w:rsid w:val="001A7A28"/>
    <w:rsid w:val="001B2BC2"/>
    <w:rsid w:val="001B7D64"/>
    <w:rsid w:val="001D6664"/>
    <w:rsid w:val="0020273B"/>
    <w:rsid w:val="00203018"/>
    <w:rsid w:val="00221F67"/>
    <w:rsid w:val="00223E08"/>
    <w:rsid w:val="00246DBF"/>
    <w:rsid w:val="00290FCC"/>
    <w:rsid w:val="002B729C"/>
    <w:rsid w:val="002D13CE"/>
    <w:rsid w:val="002D3D75"/>
    <w:rsid w:val="002E1FEA"/>
    <w:rsid w:val="002F33B1"/>
    <w:rsid w:val="0032398E"/>
    <w:rsid w:val="003265FA"/>
    <w:rsid w:val="00335282"/>
    <w:rsid w:val="003363F9"/>
    <w:rsid w:val="003414FF"/>
    <w:rsid w:val="00347B6E"/>
    <w:rsid w:val="003631A6"/>
    <w:rsid w:val="003877F2"/>
    <w:rsid w:val="003B0049"/>
    <w:rsid w:val="003B155B"/>
    <w:rsid w:val="003D5755"/>
    <w:rsid w:val="00403193"/>
    <w:rsid w:val="00413752"/>
    <w:rsid w:val="00440225"/>
    <w:rsid w:val="004523EA"/>
    <w:rsid w:val="0046619C"/>
    <w:rsid w:val="004702F3"/>
    <w:rsid w:val="00480284"/>
    <w:rsid w:val="00483433"/>
    <w:rsid w:val="00486ADC"/>
    <w:rsid w:val="0049268E"/>
    <w:rsid w:val="004A2BFE"/>
    <w:rsid w:val="004D70EC"/>
    <w:rsid w:val="004D748C"/>
    <w:rsid w:val="004F1B33"/>
    <w:rsid w:val="00523D9E"/>
    <w:rsid w:val="005507AF"/>
    <w:rsid w:val="00556753"/>
    <w:rsid w:val="00557D50"/>
    <w:rsid w:val="00570217"/>
    <w:rsid w:val="00593315"/>
    <w:rsid w:val="005D2614"/>
    <w:rsid w:val="005F24A7"/>
    <w:rsid w:val="00606136"/>
    <w:rsid w:val="00614991"/>
    <w:rsid w:val="00633496"/>
    <w:rsid w:val="006738DC"/>
    <w:rsid w:val="00676F87"/>
    <w:rsid w:val="0067707C"/>
    <w:rsid w:val="00691739"/>
    <w:rsid w:val="006B373D"/>
    <w:rsid w:val="006B763E"/>
    <w:rsid w:val="00734C9D"/>
    <w:rsid w:val="007547D0"/>
    <w:rsid w:val="00765AED"/>
    <w:rsid w:val="007776F1"/>
    <w:rsid w:val="007A00EB"/>
    <w:rsid w:val="007B097D"/>
    <w:rsid w:val="007B3EC6"/>
    <w:rsid w:val="007F378A"/>
    <w:rsid w:val="008011F5"/>
    <w:rsid w:val="0087361D"/>
    <w:rsid w:val="00881BAF"/>
    <w:rsid w:val="00882E47"/>
    <w:rsid w:val="00887388"/>
    <w:rsid w:val="00894EA6"/>
    <w:rsid w:val="0089595C"/>
    <w:rsid w:val="008C5F67"/>
    <w:rsid w:val="008F1191"/>
    <w:rsid w:val="0090455C"/>
    <w:rsid w:val="0092793C"/>
    <w:rsid w:val="00945D35"/>
    <w:rsid w:val="00984EF6"/>
    <w:rsid w:val="009970BF"/>
    <w:rsid w:val="009B258A"/>
    <w:rsid w:val="009C14AD"/>
    <w:rsid w:val="009C4F48"/>
    <w:rsid w:val="009F4FC0"/>
    <w:rsid w:val="00A5152F"/>
    <w:rsid w:val="00A860E8"/>
    <w:rsid w:val="00A96313"/>
    <w:rsid w:val="00AC4E1D"/>
    <w:rsid w:val="00AD6188"/>
    <w:rsid w:val="00AE58B2"/>
    <w:rsid w:val="00AF5797"/>
    <w:rsid w:val="00B12655"/>
    <w:rsid w:val="00B61E53"/>
    <w:rsid w:val="00BB34A7"/>
    <w:rsid w:val="00BB655D"/>
    <w:rsid w:val="00BC01EB"/>
    <w:rsid w:val="00BE55FC"/>
    <w:rsid w:val="00BE617B"/>
    <w:rsid w:val="00C011D4"/>
    <w:rsid w:val="00C9307D"/>
    <w:rsid w:val="00CA06BD"/>
    <w:rsid w:val="00CA1848"/>
    <w:rsid w:val="00CC7276"/>
    <w:rsid w:val="00CD4D97"/>
    <w:rsid w:val="00CE430A"/>
    <w:rsid w:val="00D65549"/>
    <w:rsid w:val="00DB0DA3"/>
    <w:rsid w:val="00DF2946"/>
    <w:rsid w:val="00DF4407"/>
    <w:rsid w:val="00E157EE"/>
    <w:rsid w:val="00E301C8"/>
    <w:rsid w:val="00E51B92"/>
    <w:rsid w:val="00E766AA"/>
    <w:rsid w:val="00E81EB6"/>
    <w:rsid w:val="00E85BED"/>
    <w:rsid w:val="00E96D8A"/>
    <w:rsid w:val="00EB6931"/>
    <w:rsid w:val="00EC1574"/>
    <w:rsid w:val="00ED374F"/>
    <w:rsid w:val="00EE34F1"/>
    <w:rsid w:val="00EE691E"/>
    <w:rsid w:val="00F220BB"/>
    <w:rsid w:val="00F4108B"/>
    <w:rsid w:val="00F904C3"/>
    <w:rsid w:val="00F92E3E"/>
    <w:rsid w:val="00FA7AE2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66AA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66AA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766AA"/>
    <w:pPr>
      <w:spacing w:line="360" w:lineRule="auto"/>
      <w:ind w:right="18" w:firstLine="180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E766AA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66AA"/>
    <w:pPr>
      <w:spacing w:line="360" w:lineRule="auto"/>
      <w:ind w:right="18"/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E766A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66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66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A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96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887388"/>
  </w:style>
  <w:style w:type="character" w:styleId="Forte">
    <w:name w:val="Strong"/>
    <w:basedOn w:val="Fontepargpadro"/>
    <w:uiPriority w:val="22"/>
    <w:qFormat/>
    <w:rsid w:val="002D1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66AA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66AA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766AA"/>
    <w:pPr>
      <w:spacing w:line="360" w:lineRule="auto"/>
      <w:ind w:right="18" w:firstLine="180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rsid w:val="00E766AA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766AA"/>
    <w:pPr>
      <w:spacing w:line="360" w:lineRule="auto"/>
      <w:ind w:right="18"/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E766AA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66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6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66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6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6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A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96D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887388"/>
  </w:style>
  <w:style w:type="character" w:styleId="Forte">
    <w:name w:val="Strong"/>
    <w:basedOn w:val="Fontepargpadro"/>
    <w:uiPriority w:val="22"/>
    <w:qFormat/>
    <w:rsid w:val="002D1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836">
          <w:marLeft w:val="-3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4386">
              <w:marLeft w:val="4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705">
          <w:marLeft w:val="-3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059">
              <w:marLeft w:val="4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aristideslobao</dc:creator>
  <cp:lastModifiedBy>Pedro Leandro Lima Marinho</cp:lastModifiedBy>
  <cp:revision>2</cp:revision>
  <cp:lastPrinted>2014-09-15T17:43:00Z</cp:lastPrinted>
  <dcterms:created xsi:type="dcterms:W3CDTF">2017-08-30T13:06:00Z</dcterms:created>
  <dcterms:modified xsi:type="dcterms:W3CDTF">2017-08-30T13:06:00Z</dcterms:modified>
</cp:coreProperties>
</file>