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19F" w:rsidRPr="0003319F" w:rsidRDefault="0003319F" w:rsidP="005D7355">
      <w:pPr>
        <w:spacing w:after="160" w:line="259" w:lineRule="auto"/>
        <w:rPr>
          <w:rFonts w:asciiTheme="minorHAnsi" w:eastAsiaTheme="minorHAnsi" w:hAnsiTheme="minorHAnsi" w:cstheme="minorBidi"/>
          <w:sz w:val="24"/>
          <w:szCs w:val="24"/>
          <w:lang w:eastAsia="en-US"/>
        </w:rPr>
      </w:pPr>
    </w:p>
    <w:p w:rsidR="005D7355" w:rsidRPr="005D7355" w:rsidRDefault="005D7355" w:rsidP="005D7355">
      <w:pPr>
        <w:spacing w:after="160" w:line="259" w:lineRule="auto"/>
        <w:rPr>
          <w:rFonts w:ascii="Arial" w:eastAsiaTheme="minorHAnsi" w:hAnsi="Arial" w:cs="Arial"/>
          <w:b/>
          <w:sz w:val="24"/>
          <w:szCs w:val="24"/>
          <w:lang w:eastAsia="en-US"/>
        </w:rPr>
      </w:pPr>
      <w:r w:rsidRPr="005D7355">
        <w:rPr>
          <w:rFonts w:ascii="Arial" w:eastAsiaTheme="minorHAnsi" w:hAnsi="Arial" w:cs="Arial"/>
          <w:b/>
          <w:sz w:val="24"/>
          <w:szCs w:val="24"/>
          <w:lang w:eastAsia="en-US"/>
        </w:rPr>
        <w:t xml:space="preserve">Projeto de Lei </w:t>
      </w:r>
      <w:r w:rsidR="0003319F" w:rsidRPr="0003319F">
        <w:rPr>
          <w:rFonts w:ascii="Arial" w:eastAsiaTheme="minorHAnsi" w:hAnsi="Arial" w:cs="Arial"/>
          <w:b/>
          <w:sz w:val="24"/>
          <w:szCs w:val="24"/>
          <w:lang w:eastAsia="en-US"/>
        </w:rPr>
        <w:t>n°       /2018</w:t>
      </w:r>
    </w:p>
    <w:p w:rsidR="005D7355" w:rsidRPr="005D7355" w:rsidRDefault="005D7355" w:rsidP="005D7355">
      <w:pPr>
        <w:spacing w:after="160" w:line="259" w:lineRule="auto"/>
        <w:rPr>
          <w:rFonts w:ascii="Arial" w:eastAsiaTheme="minorHAnsi" w:hAnsi="Arial" w:cs="Arial"/>
          <w:sz w:val="24"/>
          <w:szCs w:val="24"/>
          <w:lang w:eastAsia="en-US"/>
        </w:rPr>
      </w:pPr>
    </w:p>
    <w:p w:rsidR="005D7355" w:rsidRPr="005D7355" w:rsidRDefault="005D7355" w:rsidP="005D7355">
      <w:pPr>
        <w:spacing w:line="360" w:lineRule="auto"/>
        <w:ind w:left="4536"/>
        <w:jc w:val="both"/>
        <w:rPr>
          <w:rFonts w:ascii="Arial" w:eastAsiaTheme="minorHAnsi" w:hAnsi="Arial" w:cs="Arial"/>
          <w:sz w:val="24"/>
          <w:szCs w:val="24"/>
          <w:lang w:eastAsia="en-US"/>
        </w:rPr>
      </w:pPr>
      <w:r w:rsidRPr="005D7355">
        <w:rPr>
          <w:rFonts w:ascii="Arial" w:eastAsiaTheme="minorHAnsi" w:hAnsi="Arial" w:cs="Arial"/>
          <w:sz w:val="24"/>
          <w:szCs w:val="24"/>
          <w:lang w:eastAsia="en-US"/>
        </w:rPr>
        <w:t>DISPÕE SOBRE O RESPEITO ÀS PRERROGATIVAS DOS ADVOGADOS NO ÂMBITO DO ESTADO DO MARANHÃO, E DÁ OUTRAS PROVIDÊNCIAS.</w:t>
      </w:r>
    </w:p>
    <w:p w:rsidR="005D7355" w:rsidRPr="005D7355" w:rsidRDefault="005D7355" w:rsidP="005D7355">
      <w:pPr>
        <w:spacing w:line="360" w:lineRule="auto"/>
        <w:ind w:left="4536"/>
        <w:jc w:val="both"/>
        <w:rPr>
          <w:rFonts w:ascii="Arial" w:eastAsiaTheme="minorHAnsi" w:hAnsi="Arial" w:cs="Arial"/>
          <w:sz w:val="24"/>
          <w:szCs w:val="24"/>
          <w:lang w:eastAsia="en-US"/>
        </w:rPr>
      </w:pPr>
    </w:p>
    <w:p w:rsidR="005D7355" w:rsidRPr="005D7355" w:rsidRDefault="005D7355" w:rsidP="005D7355">
      <w:pPr>
        <w:spacing w:line="360" w:lineRule="auto"/>
        <w:ind w:left="4536"/>
        <w:jc w:val="both"/>
        <w:rPr>
          <w:rFonts w:ascii="Arial" w:eastAsiaTheme="minorHAnsi" w:hAnsi="Arial" w:cs="Arial"/>
          <w:sz w:val="24"/>
          <w:szCs w:val="24"/>
          <w:lang w:eastAsia="en-US"/>
        </w:rPr>
      </w:pPr>
    </w:p>
    <w:p w:rsidR="005D7355" w:rsidRPr="005D7355" w:rsidRDefault="005D7355" w:rsidP="005D7355">
      <w:pPr>
        <w:spacing w:line="360" w:lineRule="auto"/>
        <w:jc w:val="both"/>
        <w:rPr>
          <w:rFonts w:ascii="Arial" w:eastAsiaTheme="minorHAnsi" w:hAnsi="Arial" w:cs="Arial"/>
          <w:b/>
          <w:sz w:val="24"/>
          <w:szCs w:val="24"/>
          <w:lang w:eastAsia="en-US"/>
        </w:rPr>
      </w:pPr>
      <w:r w:rsidRPr="005D7355">
        <w:rPr>
          <w:rFonts w:ascii="Arial" w:eastAsiaTheme="minorHAnsi" w:hAnsi="Arial" w:cs="Arial"/>
          <w:b/>
          <w:sz w:val="24"/>
          <w:szCs w:val="24"/>
          <w:lang w:eastAsia="en-US"/>
        </w:rPr>
        <w:t>A ASSEMBLEIA LEGISLATIVA DO ESTADO DO MARANHÃO, RESOLVE:</w:t>
      </w:r>
    </w:p>
    <w:p w:rsidR="005D7355" w:rsidRPr="005D7355" w:rsidRDefault="005D7355" w:rsidP="005D7355">
      <w:pPr>
        <w:spacing w:line="360" w:lineRule="auto"/>
        <w:jc w:val="both"/>
        <w:rPr>
          <w:rFonts w:ascii="Arial" w:eastAsiaTheme="minorHAnsi" w:hAnsi="Arial" w:cs="Arial"/>
          <w:sz w:val="24"/>
          <w:szCs w:val="24"/>
          <w:lang w:eastAsia="en-US"/>
        </w:rPr>
      </w:pPr>
    </w:p>
    <w:p w:rsidR="005D7355" w:rsidRPr="005D7355" w:rsidRDefault="005D7355" w:rsidP="005D7355">
      <w:pPr>
        <w:spacing w:line="360" w:lineRule="auto"/>
        <w:jc w:val="both"/>
        <w:rPr>
          <w:rFonts w:ascii="Arial" w:eastAsiaTheme="minorHAnsi" w:hAnsi="Arial" w:cs="Arial"/>
          <w:sz w:val="24"/>
          <w:szCs w:val="24"/>
          <w:lang w:eastAsia="en-US"/>
        </w:rPr>
      </w:pPr>
      <w:r w:rsidRPr="005D7355">
        <w:rPr>
          <w:rFonts w:ascii="Arial" w:eastAsiaTheme="minorHAnsi" w:hAnsi="Arial" w:cs="Arial"/>
          <w:sz w:val="24"/>
          <w:szCs w:val="24"/>
          <w:lang w:eastAsia="en-US"/>
        </w:rPr>
        <w:t>Art. 1° O poder Judiciário deverá determinar a afixação de cartazes informativos nas salas de audiências e salas de espera de todas as varas de justiça comum dos juizados especiais do Estado do Maranhão, com os seguintes dizeres:</w:t>
      </w:r>
    </w:p>
    <w:p w:rsidR="005D7355" w:rsidRPr="005D7355" w:rsidRDefault="005D7355" w:rsidP="005D7355">
      <w:pPr>
        <w:spacing w:line="360" w:lineRule="auto"/>
        <w:jc w:val="both"/>
        <w:rPr>
          <w:rFonts w:ascii="Arial" w:eastAsiaTheme="minorHAnsi" w:hAnsi="Arial" w:cs="Arial"/>
          <w:sz w:val="24"/>
          <w:szCs w:val="24"/>
          <w:lang w:eastAsia="en-US"/>
        </w:rPr>
      </w:pPr>
      <w:r w:rsidRPr="005D7355">
        <w:rPr>
          <w:rFonts w:ascii="Arial" w:eastAsiaTheme="minorHAnsi" w:hAnsi="Arial" w:cs="Arial"/>
          <w:sz w:val="24"/>
          <w:szCs w:val="24"/>
          <w:lang w:eastAsia="en-US"/>
        </w:rPr>
        <w:t>“ EM CUMPRIMENTO AO INCISO VII DO ART 7° DA LEI FEDERAL N° 8.906 DE 04 DE JULHO DE 1994, É DIREITO DE TODO ADVOGADO DIRIGIR-SE, DIRETAMENTE, AOS MAGISTRADOS, NAS SALAS E GABINETES DE TRABALHO, INDEPENDENTEME</w:t>
      </w:r>
      <w:r w:rsidR="0088675F">
        <w:rPr>
          <w:rFonts w:ascii="Arial" w:eastAsiaTheme="minorHAnsi" w:hAnsi="Arial" w:cs="Arial"/>
          <w:sz w:val="24"/>
          <w:szCs w:val="24"/>
          <w:lang w:eastAsia="en-US"/>
        </w:rPr>
        <w:t>NTE DE HORÁRIO PREVIAMENTE MARCA</w:t>
      </w:r>
      <w:bookmarkStart w:id="0" w:name="_GoBack"/>
      <w:bookmarkEnd w:id="0"/>
      <w:r w:rsidRPr="005D7355">
        <w:rPr>
          <w:rFonts w:ascii="Arial" w:eastAsiaTheme="minorHAnsi" w:hAnsi="Arial" w:cs="Arial"/>
          <w:sz w:val="24"/>
          <w:szCs w:val="24"/>
          <w:lang w:eastAsia="en-US"/>
        </w:rPr>
        <w:t xml:space="preserve">DO OU OUTRA CONDIÇÃO, DEVENDO SER OBSERVADA A ORDEM DE </w:t>
      </w:r>
      <w:proofErr w:type="gramStart"/>
      <w:r w:rsidR="000B0745">
        <w:rPr>
          <w:rFonts w:ascii="Arial" w:eastAsiaTheme="minorHAnsi" w:hAnsi="Arial" w:cs="Arial"/>
          <w:sz w:val="24"/>
          <w:szCs w:val="24"/>
          <w:lang w:eastAsia="en-US"/>
        </w:rPr>
        <w:t>CHEGADA.</w:t>
      </w:r>
      <w:r w:rsidRPr="005D7355">
        <w:rPr>
          <w:rFonts w:ascii="Arial" w:eastAsiaTheme="minorHAnsi" w:hAnsi="Arial" w:cs="Arial"/>
          <w:sz w:val="24"/>
          <w:szCs w:val="24"/>
          <w:lang w:eastAsia="en-US"/>
        </w:rPr>
        <w:t>”</w:t>
      </w:r>
      <w:proofErr w:type="gramEnd"/>
    </w:p>
    <w:p w:rsidR="005D7355" w:rsidRPr="005D7355" w:rsidRDefault="005D7355" w:rsidP="005D7355">
      <w:pPr>
        <w:spacing w:line="360" w:lineRule="auto"/>
        <w:jc w:val="both"/>
        <w:rPr>
          <w:rFonts w:ascii="Arial" w:eastAsiaTheme="minorHAnsi" w:hAnsi="Arial" w:cs="Arial"/>
          <w:sz w:val="24"/>
          <w:szCs w:val="24"/>
          <w:lang w:eastAsia="en-US"/>
        </w:rPr>
      </w:pPr>
    </w:p>
    <w:p w:rsidR="005D7355" w:rsidRPr="005D7355" w:rsidRDefault="005D7355" w:rsidP="005D7355">
      <w:pPr>
        <w:spacing w:line="360" w:lineRule="auto"/>
        <w:jc w:val="both"/>
        <w:rPr>
          <w:rFonts w:ascii="Arial" w:eastAsiaTheme="minorHAnsi" w:hAnsi="Arial" w:cs="Arial"/>
          <w:sz w:val="24"/>
          <w:szCs w:val="24"/>
          <w:lang w:eastAsia="en-US"/>
        </w:rPr>
      </w:pPr>
      <w:r w:rsidRPr="005D7355">
        <w:rPr>
          <w:rFonts w:ascii="Arial" w:eastAsiaTheme="minorHAnsi" w:hAnsi="Arial" w:cs="Arial"/>
          <w:sz w:val="24"/>
          <w:szCs w:val="24"/>
          <w:lang w:eastAsia="en-US"/>
        </w:rPr>
        <w:t>Art. 2° Os cartazes mencionados no Art. 1° deverão ter tamanho mínimo de 30 cm (trinta centímetros) x 30 (trinta centímetros) e deverão ser afixados no local de fácil visualização.</w:t>
      </w:r>
    </w:p>
    <w:p w:rsidR="005D7355" w:rsidRPr="005D7355" w:rsidRDefault="005D7355" w:rsidP="005D7355">
      <w:pPr>
        <w:spacing w:line="360" w:lineRule="auto"/>
        <w:jc w:val="both"/>
        <w:rPr>
          <w:rFonts w:ascii="Arial" w:eastAsiaTheme="minorHAnsi" w:hAnsi="Arial" w:cs="Arial"/>
          <w:sz w:val="24"/>
          <w:szCs w:val="24"/>
          <w:lang w:eastAsia="en-US"/>
        </w:rPr>
      </w:pPr>
    </w:p>
    <w:p w:rsidR="005D7355" w:rsidRPr="005D7355" w:rsidRDefault="005D7355" w:rsidP="005D7355">
      <w:pPr>
        <w:spacing w:line="360" w:lineRule="auto"/>
        <w:jc w:val="both"/>
        <w:rPr>
          <w:rFonts w:ascii="Arial" w:eastAsiaTheme="minorHAnsi" w:hAnsi="Arial" w:cs="Arial"/>
          <w:sz w:val="24"/>
          <w:szCs w:val="24"/>
          <w:lang w:eastAsia="en-US"/>
        </w:rPr>
      </w:pPr>
      <w:r w:rsidRPr="005D7355">
        <w:rPr>
          <w:rFonts w:ascii="Arial" w:eastAsiaTheme="minorHAnsi" w:hAnsi="Arial" w:cs="Arial"/>
          <w:sz w:val="24"/>
          <w:szCs w:val="24"/>
          <w:lang w:eastAsia="en-US"/>
        </w:rPr>
        <w:lastRenderedPageBreak/>
        <w:t>Art. 3° O Poder Judiciário terá o prazo de 180 (cento e oitenta) dias para se adaptar ao disposto na presente lei, a contar da sua entrada em vigor.</w:t>
      </w:r>
    </w:p>
    <w:p w:rsidR="005D7355" w:rsidRPr="005D7355" w:rsidRDefault="005D7355" w:rsidP="005D7355">
      <w:pPr>
        <w:spacing w:line="360" w:lineRule="auto"/>
        <w:jc w:val="both"/>
        <w:rPr>
          <w:rFonts w:ascii="Arial" w:eastAsiaTheme="minorHAnsi" w:hAnsi="Arial" w:cs="Arial"/>
          <w:sz w:val="24"/>
          <w:szCs w:val="24"/>
          <w:lang w:eastAsia="en-US"/>
        </w:rPr>
      </w:pPr>
    </w:p>
    <w:p w:rsidR="005D7355" w:rsidRPr="0003319F" w:rsidRDefault="005D7355" w:rsidP="005D7355">
      <w:pPr>
        <w:spacing w:line="360" w:lineRule="auto"/>
        <w:jc w:val="both"/>
        <w:rPr>
          <w:rFonts w:ascii="Arial" w:eastAsiaTheme="minorHAnsi" w:hAnsi="Arial" w:cs="Arial"/>
          <w:sz w:val="24"/>
          <w:szCs w:val="24"/>
          <w:lang w:eastAsia="en-US"/>
        </w:rPr>
      </w:pPr>
      <w:r w:rsidRPr="005D7355">
        <w:rPr>
          <w:rFonts w:ascii="Arial" w:eastAsiaTheme="minorHAnsi" w:hAnsi="Arial" w:cs="Arial"/>
          <w:sz w:val="24"/>
          <w:szCs w:val="24"/>
          <w:lang w:eastAsia="en-US"/>
        </w:rPr>
        <w:t>Art. 4° Esta Lei entra em vigor na data de sua publicação.</w:t>
      </w:r>
    </w:p>
    <w:p w:rsidR="0003319F" w:rsidRPr="0003319F" w:rsidRDefault="0003319F" w:rsidP="005D7355">
      <w:pPr>
        <w:spacing w:line="360" w:lineRule="auto"/>
        <w:jc w:val="both"/>
        <w:rPr>
          <w:rFonts w:ascii="Arial" w:eastAsiaTheme="minorHAnsi" w:hAnsi="Arial" w:cs="Arial"/>
          <w:sz w:val="24"/>
          <w:szCs w:val="24"/>
          <w:lang w:eastAsia="en-US"/>
        </w:rPr>
      </w:pPr>
    </w:p>
    <w:p w:rsidR="0003319F" w:rsidRPr="0003319F" w:rsidRDefault="0003319F" w:rsidP="005D7355">
      <w:pPr>
        <w:spacing w:line="360" w:lineRule="auto"/>
        <w:jc w:val="both"/>
        <w:rPr>
          <w:rFonts w:ascii="Arial" w:eastAsiaTheme="minorHAnsi" w:hAnsi="Arial" w:cs="Arial"/>
          <w:sz w:val="24"/>
          <w:szCs w:val="24"/>
          <w:lang w:eastAsia="en-US"/>
        </w:rPr>
      </w:pPr>
    </w:p>
    <w:p w:rsidR="0003319F" w:rsidRPr="0003319F" w:rsidRDefault="0003319F" w:rsidP="005D7355">
      <w:pPr>
        <w:spacing w:line="360" w:lineRule="auto"/>
        <w:jc w:val="both"/>
        <w:rPr>
          <w:rFonts w:ascii="Arial" w:eastAsiaTheme="minorHAnsi" w:hAnsi="Arial" w:cs="Arial"/>
          <w:sz w:val="24"/>
          <w:szCs w:val="24"/>
          <w:lang w:eastAsia="en-US"/>
        </w:rPr>
      </w:pPr>
    </w:p>
    <w:p w:rsidR="0003319F" w:rsidRPr="0003319F" w:rsidRDefault="0003319F" w:rsidP="0003319F">
      <w:pPr>
        <w:pStyle w:val="Corpodetexto"/>
        <w:spacing w:line="360" w:lineRule="auto"/>
        <w:ind w:firstLine="1418"/>
        <w:rPr>
          <w:rFonts w:ascii="Arial" w:hAnsi="Arial" w:cs="Arial"/>
          <w:b/>
          <w:szCs w:val="24"/>
        </w:rPr>
      </w:pPr>
      <w:r w:rsidRPr="0003319F">
        <w:rPr>
          <w:rFonts w:ascii="Arial" w:hAnsi="Arial" w:cs="Arial"/>
          <w:b/>
          <w:szCs w:val="24"/>
        </w:rPr>
        <w:t xml:space="preserve">Plenário “Deputado Nagib </w:t>
      </w:r>
      <w:proofErr w:type="spellStart"/>
      <w:r w:rsidRPr="0003319F">
        <w:rPr>
          <w:rFonts w:ascii="Arial" w:hAnsi="Arial" w:cs="Arial"/>
          <w:b/>
          <w:szCs w:val="24"/>
        </w:rPr>
        <w:t>Haickel</w:t>
      </w:r>
      <w:proofErr w:type="spellEnd"/>
      <w:r w:rsidRPr="0003319F">
        <w:rPr>
          <w:rFonts w:ascii="Arial" w:hAnsi="Arial" w:cs="Arial"/>
          <w:b/>
          <w:szCs w:val="24"/>
        </w:rPr>
        <w:t xml:space="preserve">” do Palácio “Manoel Bequimão”, em São Luís, </w:t>
      </w:r>
      <w:r w:rsidR="000B0745">
        <w:rPr>
          <w:rFonts w:ascii="Arial" w:hAnsi="Arial" w:cs="Arial"/>
          <w:b/>
          <w:szCs w:val="24"/>
        </w:rPr>
        <w:t>03 de abril</w:t>
      </w:r>
      <w:r w:rsidRPr="0003319F">
        <w:rPr>
          <w:rFonts w:ascii="Arial" w:hAnsi="Arial" w:cs="Arial"/>
          <w:b/>
          <w:szCs w:val="24"/>
        </w:rPr>
        <w:t xml:space="preserve"> de 2018.</w:t>
      </w:r>
    </w:p>
    <w:p w:rsidR="0003319F" w:rsidRPr="0003319F" w:rsidRDefault="0003319F" w:rsidP="0003319F">
      <w:pPr>
        <w:pStyle w:val="Corpodetexto"/>
        <w:spacing w:line="360" w:lineRule="auto"/>
        <w:ind w:firstLine="1418"/>
        <w:rPr>
          <w:rFonts w:ascii="Arial" w:hAnsi="Arial" w:cs="Arial"/>
          <w:b/>
          <w:szCs w:val="24"/>
        </w:rPr>
      </w:pPr>
    </w:p>
    <w:p w:rsidR="0003319F" w:rsidRPr="0003319F" w:rsidRDefault="0003319F" w:rsidP="0003319F">
      <w:pPr>
        <w:pStyle w:val="Corpodetexto"/>
        <w:rPr>
          <w:rFonts w:ascii="Arial" w:hAnsi="Arial" w:cs="Arial"/>
          <w:b/>
          <w:szCs w:val="24"/>
        </w:rPr>
      </w:pPr>
    </w:p>
    <w:p w:rsidR="0003319F" w:rsidRPr="0003319F" w:rsidRDefault="0003319F" w:rsidP="0003319F">
      <w:pPr>
        <w:jc w:val="center"/>
        <w:rPr>
          <w:rFonts w:ascii="Arial" w:hAnsi="Arial" w:cs="Arial"/>
          <w:b/>
          <w:sz w:val="24"/>
          <w:szCs w:val="24"/>
        </w:rPr>
      </w:pPr>
      <w:r w:rsidRPr="0003319F">
        <w:rPr>
          <w:rFonts w:ascii="Arial" w:hAnsi="Arial" w:cs="Arial"/>
          <w:b/>
          <w:sz w:val="24"/>
          <w:szCs w:val="24"/>
        </w:rPr>
        <w:t>GLALBERT CUTRIM</w:t>
      </w:r>
    </w:p>
    <w:p w:rsidR="0003319F" w:rsidRPr="0003319F" w:rsidRDefault="0003319F" w:rsidP="0003319F">
      <w:pPr>
        <w:jc w:val="center"/>
        <w:rPr>
          <w:rFonts w:ascii="Arial" w:hAnsi="Arial" w:cs="Arial"/>
          <w:sz w:val="24"/>
          <w:szCs w:val="24"/>
        </w:rPr>
      </w:pPr>
      <w:r w:rsidRPr="0003319F">
        <w:rPr>
          <w:rFonts w:ascii="Arial" w:hAnsi="Arial" w:cs="Arial"/>
          <w:b/>
          <w:sz w:val="24"/>
          <w:szCs w:val="24"/>
        </w:rPr>
        <w:t>Dep. Estadual</w:t>
      </w:r>
    </w:p>
    <w:p w:rsidR="0003319F" w:rsidRPr="005D7355" w:rsidRDefault="0003319F" w:rsidP="005D7355">
      <w:pPr>
        <w:spacing w:line="360" w:lineRule="auto"/>
        <w:jc w:val="both"/>
        <w:rPr>
          <w:rFonts w:ascii="Arial" w:eastAsiaTheme="minorHAnsi" w:hAnsi="Arial" w:cs="Arial"/>
          <w:sz w:val="24"/>
          <w:szCs w:val="24"/>
          <w:lang w:eastAsia="en-US"/>
        </w:rPr>
      </w:pPr>
    </w:p>
    <w:p w:rsidR="005D7355" w:rsidRPr="005D7355" w:rsidRDefault="005D7355" w:rsidP="005D7355">
      <w:pPr>
        <w:spacing w:line="360" w:lineRule="auto"/>
        <w:jc w:val="both"/>
        <w:rPr>
          <w:rFonts w:ascii="Arial" w:eastAsiaTheme="minorHAnsi" w:hAnsi="Arial" w:cs="Arial"/>
          <w:sz w:val="24"/>
          <w:szCs w:val="24"/>
          <w:lang w:eastAsia="en-US"/>
        </w:rPr>
      </w:pPr>
    </w:p>
    <w:p w:rsidR="005D7355" w:rsidRPr="005D7355" w:rsidRDefault="005D7355" w:rsidP="005D7355">
      <w:pPr>
        <w:spacing w:line="360" w:lineRule="auto"/>
        <w:jc w:val="both"/>
        <w:rPr>
          <w:rFonts w:ascii="Arial" w:eastAsiaTheme="minorHAnsi" w:hAnsi="Arial" w:cs="Arial"/>
          <w:sz w:val="24"/>
          <w:szCs w:val="24"/>
          <w:lang w:eastAsia="en-US"/>
        </w:rPr>
      </w:pPr>
    </w:p>
    <w:p w:rsidR="007935D5" w:rsidRPr="0003319F" w:rsidRDefault="007935D5" w:rsidP="007935D5">
      <w:pPr>
        <w:tabs>
          <w:tab w:val="left" w:pos="1134"/>
        </w:tabs>
        <w:spacing w:line="360" w:lineRule="auto"/>
        <w:ind w:firstLine="993"/>
        <w:jc w:val="center"/>
        <w:rPr>
          <w:rFonts w:ascii="Arial" w:hAnsi="Arial" w:cs="Arial"/>
          <w:b/>
          <w:sz w:val="24"/>
          <w:szCs w:val="24"/>
        </w:rPr>
      </w:pPr>
    </w:p>
    <w:p w:rsidR="005D7355" w:rsidRDefault="005D7355" w:rsidP="007935D5">
      <w:pPr>
        <w:tabs>
          <w:tab w:val="left" w:pos="1134"/>
        </w:tabs>
        <w:spacing w:line="360" w:lineRule="auto"/>
        <w:ind w:firstLine="993"/>
        <w:jc w:val="center"/>
        <w:rPr>
          <w:rFonts w:ascii="Arial" w:hAnsi="Arial" w:cs="Arial"/>
          <w:b/>
          <w:sz w:val="24"/>
          <w:szCs w:val="24"/>
        </w:rPr>
      </w:pPr>
    </w:p>
    <w:p w:rsidR="0003319F" w:rsidRDefault="0003319F" w:rsidP="007935D5">
      <w:pPr>
        <w:tabs>
          <w:tab w:val="left" w:pos="1134"/>
        </w:tabs>
        <w:spacing w:line="360" w:lineRule="auto"/>
        <w:ind w:firstLine="993"/>
        <w:jc w:val="center"/>
        <w:rPr>
          <w:rFonts w:ascii="Arial" w:hAnsi="Arial" w:cs="Arial"/>
          <w:b/>
          <w:sz w:val="24"/>
          <w:szCs w:val="24"/>
        </w:rPr>
      </w:pPr>
    </w:p>
    <w:p w:rsidR="0003319F" w:rsidRDefault="0003319F" w:rsidP="007935D5">
      <w:pPr>
        <w:tabs>
          <w:tab w:val="left" w:pos="1134"/>
        </w:tabs>
        <w:spacing w:line="360" w:lineRule="auto"/>
        <w:ind w:firstLine="993"/>
        <w:jc w:val="center"/>
        <w:rPr>
          <w:rFonts w:ascii="Arial" w:hAnsi="Arial" w:cs="Arial"/>
          <w:b/>
          <w:sz w:val="24"/>
          <w:szCs w:val="24"/>
        </w:rPr>
      </w:pPr>
    </w:p>
    <w:p w:rsidR="0003319F" w:rsidRDefault="0003319F" w:rsidP="007935D5">
      <w:pPr>
        <w:tabs>
          <w:tab w:val="left" w:pos="1134"/>
        </w:tabs>
        <w:spacing w:line="360" w:lineRule="auto"/>
        <w:ind w:firstLine="993"/>
        <w:jc w:val="center"/>
        <w:rPr>
          <w:rFonts w:ascii="Arial" w:hAnsi="Arial" w:cs="Arial"/>
          <w:b/>
          <w:sz w:val="24"/>
          <w:szCs w:val="24"/>
        </w:rPr>
      </w:pPr>
    </w:p>
    <w:p w:rsidR="0003319F" w:rsidRDefault="0003319F" w:rsidP="007935D5">
      <w:pPr>
        <w:tabs>
          <w:tab w:val="left" w:pos="1134"/>
        </w:tabs>
        <w:spacing w:line="360" w:lineRule="auto"/>
        <w:ind w:firstLine="993"/>
        <w:jc w:val="center"/>
        <w:rPr>
          <w:rFonts w:ascii="Arial" w:hAnsi="Arial" w:cs="Arial"/>
          <w:b/>
          <w:sz w:val="24"/>
          <w:szCs w:val="24"/>
        </w:rPr>
      </w:pPr>
    </w:p>
    <w:p w:rsidR="0003319F" w:rsidRDefault="0003319F" w:rsidP="007935D5">
      <w:pPr>
        <w:tabs>
          <w:tab w:val="left" w:pos="1134"/>
        </w:tabs>
        <w:spacing w:line="360" w:lineRule="auto"/>
        <w:ind w:firstLine="993"/>
        <w:jc w:val="center"/>
        <w:rPr>
          <w:rFonts w:ascii="Arial" w:hAnsi="Arial" w:cs="Arial"/>
          <w:b/>
          <w:sz w:val="24"/>
          <w:szCs w:val="24"/>
        </w:rPr>
      </w:pPr>
    </w:p>
    <w:p w:rsidR="0003319F" w:rsidRDefault="0003319F" w:rsidP="007935D5">
      <w:pPr>
        <w:tabs>
          <w:tab w:val="left" w:pos="1134"/>
        </w:tabs>
        <w:spacing w:line="360" w:lineRule="auto"/>
        <w:ind w:firstLine="993"/>
        <w:jc w:val="center"/>
        <w:rPr>
          <w:rFonts w:ascii="Arial" w:hAnsi="Arial" w:cs="Arial"/>
          <w:b/>
          <w:sz w:val="24"/>
          <w:szCs w:val="24"/>
        </w:rPr>
      </w:pPr>
    </w:p>
    <w:p w:rsidR="0003319F" w:rsidRDefault="0003319F" w:rsidP="007935D5">
      <w:pPr>
        <w:tabs>
          <w:tab w:val="left" w:pos="1134"/>
        </w:tabs>
        <w:spacing w:line="360" w:lineRule="auto"/>
        <w:ind w:firstLine="993"/>
        <w:jc w:val="center"/>
        <w:rPr>
          <w:rFonts w:ascii="Arial" w:hAnsi="Arial" w:cs="Arial"/>
          <w:b/>
          <w:sz w:val="24"/>
          <w:szCs w:val="24"/>
        </w:rPr>
      </w:pPr>
    </w:p>
    <w:p w:rsidR="0003319F" w:rsidRDefault="0003319F" w:rsidP="007935D5">
      <w:pPr>
        <w:tabs>
          <w:tab w:val="left" w:pos="1134"/>
        </w:tabs>
        <w:spacing w:line="360" w:lineRule="auto"/>
        <w:ind w:firstLine="993"/>
        <w:jc w:val="center"/>
        <w:rPr>
          <w:rFonts w:ascii="Arial" w:hAnsi="Arial" w:cs="Arial"/>
          <w:b/>
          <w:sz w:val="24"/>
          <w:szCs w:val="24"/>
        </w:rPr>
      </w:pPr>
    </w:p>
    <w:p w:rsidR="0003319F" w:rsidRDefault="0003319F" w:rsidP="007935D5">
      <w:pPr>
        <w:tabs>
          <w:tab w:val="left" w:pos="1134"/>
        </w:tabs>
        <w:spacing w:line="360" w:lineRule="auto"/>
        <w:ind w:firstLine="993"/>
        <w:jc w:val="center"/>
        <w:rPr>
          <w:rFonts w:ascii="Arial" w:hAnsi="Arial" w:cs="Arial"/>
          <w:b/>
          <w:sz w:val="24"/>
          <w:szCs w:val="24"/>
        </w:rPr>
      </w:pPr>
    </w:p>
    <w:p w:rsidR="0003319F" w:rsidRDefault="0003319F" w:rsidP="007935D5">
      <w:pPr>
        <w:tabs>
          <w:tab w:val="left" w:pos="1134"/>
        </w:tabs>
        <w:spacing w:line="360" w:lineRule="auto"/>
        <w:ind w:firstLine="993"/>
        <w:jc w:val="center"/>
        <w:rPr>
          <w:rFonts w:ascii="Arial" w:hAnsi="Arial" w:cs="Arial"/>
          <w:b/>
          <w:sz w:val="24"/>
          <w:szCs w:val="24"/>
        </w:rPr>
      </w:pPr>
    </w:p>
    <w:p w:rsidR="0003319F" w:rsidRDefault="0003319F" w:rsidP="000B0745">
      <w:pPr>
        <w:tabs>
          <w:tab w:val="left" w:pos="1134"/>
        </w:tabs>
        <w:spacing w:line="360" w:lineRule="auto"/>
        <w:ind w:firstLine="993"/>
        <w:rPr>
          <w:rFonts w:ascii="Arial" w:hAnsi="Arial" w:cs="Arial"/>
          <w:b/>
          <w:sz w:val="24"/>
          <w:szCs w:val="24"/>
        </w:rPr>
      </w:pPr>
      <w:r>
        <w:rPr>
          <w:rFonts w:ascii="Arial" w:hAnsi="Arial" w:cs="Arial"/>
          <w:b/>
          <w:sz w:val="24"/>
          <w:szCs w:val="24"/>
        </w:rPr>
        <w:lastRenderedPageBreak/>
        <w:t xml:space="preserve">                                         JUSTIFICATIVA</w:t>
      </w:r>
    </w:p>
    <w:p w:rsidR="0003319F" w:rsidRDefault="0003319F" w:rsidP="0003319F">
      <w:pPr>
        <w:tabs>
          <w:tab w:val="left" w:pos="1134"/>
        </w:tabs>
        <w:spacing w:line="360" w:lineRule="auto"/>
        <w:rPr>
          <w:rFonts w:ascii="Arial" w:hAnsi="Arial" w:cs="Arial"/>
          <w:b/>
          <w:sz w:val="24"/>
          <w:szCs w:val="24"/>
        </w:rPr>
      </w:pPr>
    </w:p>
    <w:p w:rsidR="0003319F" w:rsidRDefault="0003319F" w:rsidP="0003319F">
      <w:pPr>
        <w:tabs>
          <w:tab w:val="left" w:pos="1134"/>
        </w:tabs>
        <w:spacing w:line="360" w:lineRule="auto"/>
        <w:ind w:firstLine="1134"/>
        <w:jc w:val="both"/>
        <w:rPr>
          <w:rFonts w:ascii="Arial" w:hAnsi="Arial" w:cs="Arial"/>
          <w:sz w:val="24"/>
          <w:szCs w:val="24"/>
        </w:rPr>
      </w:pPr>
      <w:r>
        <w:rPr>
          <w:rFonts w:ascii="Arial" w:hAnsi="Arial" w:cs="Arial"/>
          <w:sz w:val="24"/>
          <w:szCs w:val="24"/>
        </w:rPr>
        <w:t xml:space="preserve">Conforme é cediço o advogado segundo preceitua o </w:t>
      </w:r>
      <w:proofErr w:type="spellStart"/>
      <w:r>
        <w:rPr>
          <w:rFonts w:ascii="Arial" w:hAnsi="Arial" w:cs="Arial"/>
          <w:sz w:val="24"/>
          <w:szCs w:val="24"/>
        </w:rPr>
        <w:t>art</w:t>
      </w:r>
      <w:proofErr w:type="spellEnd"/>
      <w:r>
        <w:rPr>
          <w:rFonts w:ascii="Arial" w:hAnsi="Arial" w:cs="Arial"/>
          <w:sz w:val="24"/>
          <w:szCs w:val="24"/>
        </w:rPr>
        <w:t xml:space="preserve"> 133 da Carta Magna é indispensável à administração da justiça, sendo inviolável por seus atos e manifestações no exercício da profissão, nos limites da lei. Vejamos:</w:t>
      </w:r>
    </w:p>
    <w:p w:rsidR="0003319F" w:rsidRDefault="0003319F" w:rsidP="0003319F">
      <w:pPr>
        <w:tabs>
          <w:tab w:val="left" w:pos="1134"/>
        </w:tabs>
        <w:spacing w:line="360" w:lineRule="auto"/>
        <w:ind w:firstLine="1134"/>
        <w:jc w:val="both"/>
        <w:rPr>
          <w:rFonts w:ascii="Arial" w:hAnsi="Arial" w:cs="Arial"/>
          <w:sz w:val="24"/>
          <w:szCs w:val="24"/>
        </w:rPr>
      </w:pPr>
    </w:p>
    <w:p w:rsidR="0003319F" w:rsidRDefault="0003319F" w:rsidP="0003319F">
      <w:pPr>
        <w:tabs>
          <w:tab w:val="left" w:pos="1134"/>
        </w:tabs>
        <w:spacing w:line="360" w:lineRule="auto"/>
        <w:ind w:left="3402"/>
        <w:jc w:val="both"/>
        <w:rPr>
          <w:rFonts w:ascii="Arial" w:hAnsi="Arial" w:cs="Arial"/>
          <w:sz w:val="24"/>
          <w:szCs w:val="24"/>
        </w:rPr>
      </w:pPr>
      <w:r>
        <w:rPr>
          <w:rFonts w:ascii="Arial" w:hAnsi="Arial" w:cs="Arial"/>
          <w:sz w:val="24"/>
          <w:szCs w:val="24"/>
        </w:rPr>
        <w:t>[...]</w:t>
      </w:r>
    </w:p>
    <w:p w:rsidR="0003319F" w:rsidRDefault="0003319F" w:rsidP="0003319F">
      <w:pPr>
        <w:tabs>
          <w:tab w:val="left" w:pos="1134"/>
        </w:tabs>
        <w:spacing w:line="360" w:lineRule="auto"/>
        <w:ind w:left="3402"/>
        <w:jc w:val="both"/>
        <w:rPr>
          <w:rFonts w:ascii="Arial" w:hAnsi="Arial" w:cs="Arial"/>
          <w:sz w:val="24"/>
          <w:szCs w:val="24"/>
        </w:rPr>
      </w:pPr>
      <w:r>
        <w:rPr>
          <w:rFonts w:ascii="Arial" w:hAnsi="Arial" w:cs="Arial"/>
          <w:sz w:val="24"/>
          <w:szCs w:val="24"/>
        </w:rPr>
        <w:t>Art. 133. O advogado é indispensável à administração da justiça, sendo inviolável por seus atos e manifestações no exercício da profissão, nos limites da lei.</w:t>
      </w:r>
    </w:p>
    <w:p w:rsidR="00AA10FE" w:rsidRDefault="00AA10FE" w:rsidP="0003319F">
      <w:pPr>
        <w:tabs>
          <w:tab w:val="left" w:pos="1134"/>
        </w:tabs>
        <w:spacing w:line="360" w:lineRule="auto"/>
        <w:ind w:left="3402"/>
        <w:jc w:val="both"/>
        <w:rPr>
          <w:rFonts w:ascii="Arial" w:hAnsi="Arial" w:cs="Arial"/>
          <w:sz w:val="24"/>
          <w:szCs w:val="24"/>
        </w:rPr>
      </w:pPr>
      <w:r>
        <w:rPr>
          <w:rFonts w:ascii="Arial" w:hAnsi="Arial" w:cs="Arial"/>
          <w:sz w:val="24"/>
          <w:szCs w:val="24"/>
        </w:rPr>
        <w:t>[...]</w:t>
      </w:r>
    </w:p>
    <w:p w:rsidR="0003319F" w:rsidRDefault="0003319F" w:rsidP="0003319F">
      <w:pPr>
        <w:tabs>
          <w:tab w:val="left" w:pos="1134"/>
        </w:tabs>
        <w:spacing w:line="360" w:lineRule="auto"/>
        <w:ind w:firstLine="1134"/>
        <w:jc w:val="both"/>
        <w:rPr>
          <w:rFonts w:ascii="Arial" w:hAnsi="Arial" w:cs="Arial"/>
          <w:sz w:val="24"/>
          <w:szCs w:val="24"/>
        </w:rPr>
      </w:pPr>
    </w:p>
    <w:p w:rsidR="0003319F" w:rsidRDefault="0003319F" w:rsidP="0003319F">
      <w:pPr>
        <w:tabs>
          <w:tab w:val="left" w:pos="1134"/>
        </w:tabs>
        <w:spacing w:line="360" w:lineRule="auto"/>
        <w:ind w:firstLine="1134"/>
        <w:jc w:val="both"/>
        <w:rPr>
          <w:rFonts w:ascii="Arial" w:hAnsi="Arial" w:cs="Arial"/>
          <w:sz w:val="24"/>
          <w:szCs w:val="24"/>
        </w:rPr>
      </w:pPr>
      <w:r>
        <w:rPr>
          <w:rFonts w:ascii="Arial" w:hAnsi="Arial" w:cs="Arial"/>
          <w:sz w:val="24"/>
          <w:szCs w:val="24"/>
        </w:rPr>
        <w:t xml:space="preserve">Por sua vez, o legislador infraconstitucional ao regulamentar a nobre e “incompreensível) profissão de advogado (como afirma o ilustre advogado Dr. Antônio Cláudio Mariz de Oliveira), estabeleceu no art. 7°, inciso VIII da Lei n° 8.906/1994 (Estatuto da Advocacia e a Ordem dos Advogados do Brasil), dirigir-se diretamente aos magistrados nas salas e gabinetes de trabalho, independentemente de horário previamente marcado ou outra condição observando-se a ordem de chegada. </w:t>
      </w:r>
    </w:p>
    <w:p w:rsidR="00AA10FE" w:rsidRDefault="00AA10FE" w:rsidP="0003319F">
      <w:pPr>
        <w:tabs>
          <w:tab w:val="left" w:pos="1134"/>
        </w:tabs>
        <w:spacing w:line="360" w:lineRule="auto"/>
        <w:ind w:firstLine="1134"/>
        <w:jc w:val="both"/>
        <w:rPr>
          <w:rFonts w:ascii="Arial" w:hAnsi="Arial" w:cs="Arial"/>
          <w:sz w:val="24"/>
          <w:szCs w:val="24"/>
        </w:rPr>
      </w:pPr>
    </w:p>
    <w:p w:rsidR="00AA10FE" w:rsidRDefault="00AA10FE" w:rsidP="00AA10FE">
      <w:pPr>
        <w:tabs>
          <w:tab w:val="left" w:pos="1134"/>
        </w:tabs>
        <w:spacing w:line="360" w:lineRule="auto"/>
        <w:ind w:left="3402"/>
        <w:jc w:val="both"/>
        <w:rPr>
          <w:rFonts w:ascii="Arial" w:hAnsi="Arial" w:cs="Arial"/>
          <w:sz w:val="24"/>
          <w:szCs w:val="24"/>
        </w:rPr>
      </w:pPr>
      <w:r>
        <w:rPr>
          <w:rFonts w:ascii="Arial" w:hAnsi="Arial" w:cs="Arial"/>
          <w:sz w:val="24"/>
          <w:szCs w:val="24"/>
        </w:rPr>
        <w:t>Art. 7° São direitos do advogado:</w:t>
      </w:r>
    </w:p>
    <w:p w:rsidR="00AA10FE" w:rsidRDefault="00AA10FE" w:rsidP="00AA10FE">
      <w:pPr>
        <w:tabs>
          <w:tab w:val="left" w:pos="1134"/>
        </w:tabs>
        <w:spacing w:line="360" w:lineRule="auto"/>
        <w:ind w:left="3402"/>
        <w:jc w:val="both"/>
        <w:rPr>
          <w:rFonts w:ascii="Arial" w:hAnsi="Arial" w:cs="Arial"/>
          <w:sz w:val="24"/>
          <w:szCs w:val="24"/>
        </w:rPr>
      </w:pPr>
      <w:r>
        <w:rPr>
          <w:rFonts w:ascii="Arial" w:hAnsi="Arial" w:cs="Arial"/>
          <w:sz w:val="24"/>
          <w:szCs w:val="24"/>
        </w:rPr>
        <w:t>[...]</w:t>
      </w:r>
    </w:p>
    <w:p w:rsidR="00AA10FE" w:rsidRDefault="00AA10FE" w:rsidP="000B0745">
      <w:pPr>
        <w:tabs>
          <w:tab w:val="left" w:pos="1134"/>
        </w:tabs>
        <w:spacing w:line="360" w:lineRule="auto"/>
        <w:ind w:left="3402"/>
        <w:jc w:val="both"/>
        <w:rPr>
          <w:rFonts w:ascii="Arial" w:hAnsi="Arial" w:cs="Arial"/>
          <w:sz w:val="24"/>
          <w:szCs w:val="24"/>
        </w:rPr>
      </w:pPr>
      <w:r>
        <w:rPr>
          <w:rFonts w:ascii="Arial" w:hAnsi="Arial" w:cs="Arial"/>
          <w:sz w:val="24"/>
          <w:szCs w:val="24"/>
        </w:rPr>
        <w:t>VIII – dirigir-se diretamente aos magistrados nas salas e gabinetes de trabalho, independentemente de horário marcado ou outra condição, observando-se</w:t>
      </w:r>
      <w:r w:rsidR="000B0745">
        <w:rPr>
          <w:rFonts w:ascii="Arial" w:hAnsi="Arial" w:cs="Arial"/>
          <w:sz w:val="24"/>
          <w:szCs w:val="24"/>
        </w:rPr>
        <w:t xml:space="preserve"> a ordem de chegada.</w:t>
      </w:r>
    </w:p>
    <w:p w:rsidR="00AA10FE" w:rsidRDefault="00AA10FE" w:rsidP="0003319F">
      <w:pPr>
        <w:tabs>
          <w:tab w:val="left" w:pos="1134"/>
        </w:tabs>
        <w:spacing w:line="360" w:lineRule="auto"/>
        <w:ind w:firstLine="1134"/>
        <w:jc w:val="both"/>
        <w:rPr>
          <w:rFonts w:ascii="Arial" w:hAnsi="Arial" w:cs="Arial"/>
          <w:sz w:val="24"/>
          <w:szCs w:val="24"/>
        </w:rPr>
      </w:pPr>
      <w:r>
        <w:rPr>
          <w:rFonts w:ascii="Arial" w:hAnsi="Arial" w:cs="Arial"/>
          <w:sz w:val="24"/>
          <w:szCs w:val="24"/>
        </w:rPr>
        <w:lastRenderedPageBreak/>
        <w:t>A celebre frase do saudoso Ruy Barbosa pontificou que “A defesa não quer dizer que o panegírico da culpa ou do culpado. Sua função consiste em ser, ao lado do acusado, inocente ou criminoso, a voz dos seus direitos legais. E é o advogado é quem faz grande maestria essa nobre função.</w:t>
      </w:r>
    </w:p>
    <w:p w:rsidR="00AA10FE" w:rsidRDefault="00AA10FE" w:rsidP="0003319F">
      <w:pPr>
        <w:tabs>
          <w:tab w:val="left" w:pos="1134"/>
        </w:tabs>
        <w:spacing w:line="360" w:lineRule="auto"/>
        <w:ind w:firstLine="1134"/>
        <w:jc w:val="both"/>
        <w:rPr>
          <w:rFonts w:ascii="Arial" w:hAnsi="Arial" w:cs="Arial"/>
          <w:sz w:val="24"/>
          <w:szCs w:val="24"/>
        </w:rPr>
      </w:pPr>
      <w:r>
        <w:rPr>
          <w:rFonts w:ascii="Arial" w:hAnsi="Arial" w:cs="Arial"/>
          <w:sz w:val="24"/>
          <w:szCs w:val="24"/>
        </w:rPr>
        <w:t>Reconhecendo a importância da profissão de advogado, o supremo Tribunal Federal ao julgar ADI 3026/DF, de Relatoria do Min. EROS GRAU, o Tribunal Pleno, decidiu pela entidade que representa esses profissionais (Ordem dos Advogados do Brasil), é um entidade singular e sui generis.</w:t>
      </w:r>
    </w:p>
    <w:p w:rsidR="00AA10FE" w:rsidRDefault="00AA10FE" w:rsidP="0003319F">
      <w:pPr>
        <w:tabs>
          <w:tab w:val="left" w:pos="1134"/>
        </w:tabs>
        <w:spacing w:line="360" w:lineRule="auto"/>
        <w:ind w:firstLine="1134"/>
        <w:jc w:val="both"/>
        <w:rPr>
          <w:rFonts w:ascii="Arial" w:hAnsi="Arial" w:cs="Arial"/>
          <w:sz w:val="24"/>
          <w:szCs w:val="24"/>
        </w:rPr>
      </w:pPr>
    </w:p>
    <w:p w:rsidR="008062F0" w:rsidRDefault="00AA10FE" w:rsidP="00702F38">
      <w:pPr>
        <w:tabs>
          <w:tab w:val="left" w:pos="1134"/>
        </w:tabs>
        <w:spacing w:line="360" w:lineRule="auto"/>
        <w:ind w:left="3402"/>
        <w:jc w:val="both"/>
        <w:rPr>
          <w:rFonts w:ascii="Arial" w:hAnsi="Arial" w:cs="Arial"/>
          <w:sz w:val="24"/>
          <w:szCs w:val="24"/>
        </w:rPr>
      </w:pPr>
      <w:r>
        <w:rPr>
          <w:rFonts w:ascii="Arial" w:hAnsi="Arial" w:cs="Arial"/>
          <w:sz w:val="24"/>
          <w:szCs w:val="24"/>
        </w:rPr>
        <w:t>EMENTA: AÇÃO DIRETA DE INSCONSTITUCIONALIDADE. §1° DO ART 79 DA LEI N. 8.906, 2ª PARTE. “SERVIDORES” DA ORDEM DOS ADVOGADOS DO BRASIL. PRECEITO QUE POSSIBILITA A OPÇÃO PELO REGIME CELETISTA. COMPENSAÇÃO PELA ESCOLA DO REGIME JURÍDICO NO MOMENTO DA APOSENTADORIA. INDENIZAÇÃO. IMPOSIÇÃO DE DITAMES INERENTES À ADMINISTRAÇÃO PÚBLICA DIRETA E INDIRETA. CONCURSO PÚBLICO (ART. 37, II DA CONSTITUIÇÃO DO BRASIL) INEXIGÊNCIA DE CONSURSO PÚBLICO PARA A ADMISSÃO DOS CONTRATADOS PELA OAB. AUTARQUIAS ESPECIAIS E AGÊNCIAS. CARÁTER JURÍDCO DA OAB.</w:t>
      </w:r>
      <w:r w:rsidR="00E938F0">
        <w:rPr>
          <w:rFonts w:ascii="Arial" w:hAnsi="Arial" w:cs="Arial"/>
          <w:sz w:val="24"/>
          <w:szCs w:val="24"/>
        </w:rPr>
        <w:t xml:space="preserve"> ENTIDADE PRESTADORA DE SERVIÇO INDEPENDENTE. CATEGORIA ÍMPAR NO ELENCO DAS PERSONALIDADES </w:t>
      </w:r>
      <w:r w:rsidR="00E938F0">
        <w:rPr>
          <w:rFonts w:ascii="Arial" w:hAnsi="Arial" w:cs="Arial"/>
          <w:sz w:val="24"/>
          <w:szCs w:val="24"/>
        </w:rPr>
        <w:lastRenderedPageBreak/>
        <w:t xml:space="preserve">JURÍDICAS EXISTENTES NO DIREITO BRASILEIRO. AUTONOMIA E INDEPENDÊNCIA DA ENTIDADE. PRINCÍPIO DA MORALIDADE. VIOLAÇÃO DO ART 37, CAPUT, DA CONSTITUIÇÃO FEDERAL. NÃO OCORRÊNCIA. 1. A Lei n.8.906, artigo 79 §1°, possibilitou aos “servidores” da OAB, cujo regime celetista. Compensação pela escolha: indenização a ser paga à época da aposentadoria. 2. Não procede a alegação de que a OAB </w:t>
      </w:r>
      <w:proofErr w:type="gramStart"/>
      <w:r w:rsidR="00E938F0">
        <w:rPr>
          <w:rFonts w:ascii="Arial" w:hAnsi="Arial" w:cs="Arial"/>
          <w:sz w:val="24"/>
          <w:szCs w:val="24"/>
        </w:rPr>
        <w:t>sujeita-se</w:t>
      </w:r>
      <w:proofErr w:type="gramEnd"/>
      <w:r w:rsidR="00E938F0">
        <w:rPr>
          <w:rFonts w:ascii="Arial" w:hAnsi="Arial" w:cs="Arial"/>
          <w:sz w:val="24"/>
          <w:szCs w:val="24"/>
        </w:rPr>
        <w:t xml:space="preserve"> aos ditames impostos à Administração Pública Direta e Indireta. 3. A OAB não é uma entidade da Administração Indireta da União. A Ordem é um serviço público independente, categoria ímpar no elenco das personalidades jurídicas existentes no direito brasileiro 4. A OAB não está incluída na categoria na qual se inserem essas que se tem referido como “autarquias especiais” para pretender-se afirmar equivocada independência das hoje chamadas “agências”. 5. Por não consubstanciar uma entidade da Administração Indireta, a OAB não está sujeita a controle da Administração, nem a qualquer das suas partes está vinculada. Essa não-vinculação é formal e materialmente necessária. 6. </w:t>
      </w:r>
      <w:r w:rsidR="00E938F0" w:rsidRPr="008062F0">
        <w:rPr>
          <w:rFonts w:ascii="Arial" w:hAnsi="Arial" w:cs="Arial"/>
          <w:b/>
          <w:sz w:val="24"/>
          <w:szCs w:val="24"/>
        </w:rPr>
        <w:t>A OAB</w:t>
      </w:r>
      <w:r w:rsidR="008062F0" w:rsidRPr="008062F0">
        <w:rPr>
          <w:rFonts w:ascii="Arial" w:hAnsi="Arial" w:cs="Arial"/>
          <w:b/>
          <w:sz w:val="24"/>
          <w:szCs w:val="24"/>
        </w:rPr>
        <w:t xml:space="preserve"> ocupa-se de atividades atinentes aos advogados, que exercem função constitucionalmente privilegiada, na medida em </w:t>
      </w:r>
      <w:r w:rsidR="008062F0" w:rsidRPr="008062F0">
        <w:rPr>
          <w:rFonts w:ascii="Arial" w:hAnsi="Arial" w:cs="Arial"/>
          <w:b/>
          <w:sz w:val="24"/>
          <w:szCs w:val="24"/>
        </w:rPr>
        <w:lastRenderedPageBreak/>
        <w:t>que são indispensáveis à administração da Justiça (artigo 133 da CF/88)</w:t>
      </w:r>
      <w:r w:rsidR="008062F0">
        <w:rPr>
          <w:rFonts w:ascii="Arial" w:hAnsi="Arial" w:cs="Arial"/>
          <w:b/>
          <w:sz w:val="24"/>
          <w:szCs w:val="24"/>
        </w:rPr>
        <w:t xml:space="preserve">. </w:t>
      </w:r>
      <w:r w:rsidR="008062F0">
        <w:rPr>
          <w:rFonts w:ascii="Arial" w:hAnsi="Arial" w:cs="Arial"/>
          <w:sz w:val="24"/>
          <w:szCs w:val="24"/>
        </w:rPr>
        <w:t xml:space="preserve">É entidade cuja finalidade é afeita a atribuições, interesses e seleção de advogados. Não há ordem de relação ou dependência entre a OAB e qualquer órgão público. 7. A Ordem dos Advogados do Brasil, cujas características são autonomia e </w:t>
      </w:r>
      <w:proofErr w:type="spellStart"/>
      <w:r w:rsidR="008062F0">
        <w:rPr>
          <w:rFonts w:ascii="Arial" w:hAnsi="Arial" w:cs="Arial"/>
          <w:sz w:val="24"/>
          <w:szCs w:val="24"/>
        </w:rPr>
        <w:t>indenpendcia</w:t>
      </w:r>
      <w:proofErr w:type="spellEnd"/>
      <w:r w:rsidR="008062F0">
        <w:rPr>
          <w:rFonts w:ascii="Arial" w:hAnsi="Arial" w:cs="Arial"/>
          <w:sz w:val="24"/>
          <w:szCs w:val="24"/>
        </w:rPr>
        <w:t xml:space="preserve">, não pode ser tida como congênere dos demais órgãos de fiscalização profissional. A OAB não está voltada exclusivamente a finalidades corporativas. </w:t>
      </w:r>
      <w:r w:rsidR="008062F0" w:rsidRPr="008062F0">
        <w:rPr>
          <w:rFonts w:ascii="Arial" w:hAnsi="Arial" w:cs="Arial"/>
          <w:b/>
          <w:sz w:val="24"/>
          <w:szCs w:val="24"/>
        </w:rPr>
        <w:t>Possui finalidade institucional</w:t>
      </w:r>
      <w:r w:rsidR="008062F0">
        <w:rPr>
          <w:rFonts w:ascii="Arial" w:hAnsi="Arial" w:cs="Arial"/>
          <w:sz w:val="24"/>
          <w:szCs w:val="24"/>
        </w:rPr>
        <w:t xml:space="preserve">. 8. Embora ocorra de determinação legal, o regime estatutário imposto aos empregados da OAB não é compatível com a entidade, que é autônoma e independente. 9. Improcede o pedido do requerente no sentido de que se dê interpretação conforme o artigo 37, II, da Constituição Federal ao caput do </w:t>
      </w:r>
      <w:proofErr w:type="spellStart"/>
      <w:r w:rsidR="008062F0">
        <w:rPr>
          <w:rFonts w:ascii="Arial" w:hAnsi="Arial" w:cs="Arial"/>
          <w:sz w:val="24"/>
          <w:szCs w:val="24"/>
        </w:rPr>
        <w:t>art</w:t>
      </w:r>
      <w:proofErr w:type="spellEnd"/>
      <w:r w:rsidR="008062F0">
        <w:rPr>
          <w:rFonts w:ascii="Arial" w:hAnsi="Arial" w:cs="Arial"/>
          <w:sz w:val="24"/>
          <w:szCs w:val="24"/>
        </w:rPr>
        <w:t xml:space="preserve"> 79 da Lei n. 8.906, que determina a aplicação do regime trabalhista aos servidores da OAB. 10. Incabível a exigência de concurso público para admissão dos contratados sob o regime trabalhista pela OAB. 11. Princípio da moralidade. Ética da legalidade e moralidade. Confinamento do princípio da moralidade ao âmbito da ética da legalidade, que não pode ser ultrapassada, sob pena de dissolução do próprio sistema. Desvio de poder ou de finalidade. Julgo improcedente o pedido.</w:t>
      </w:r>
    </w:p>
    <w:p w:rsidR="008062F0" w:rsidRDefault="008062F0" w:rsidP="0003319F">
      <w:pPr>
        <w:tabs>
          <w:tab w:val="left" w:pos="1134"/>
        </w:tabs>
        <w:spacing w:line="360" w:lineRule="auto"/>
        <w:ind w:firstLine="1134"/>
        <w:jc w:val="both"/>
        <w:rPr>
          <w:rFonts w:ascii="Arial" w:hAnsi="Arial" w:cs="Arial"/>
          <w:sz w:val="24"/>
          <w:szCs w:val="24"/>
        </w:rPr>
      </w:pPr>
    </w:p>
    <w:p w:rsidR="00AA10FE" w:rsidRDefault="008062F0" w:rsidP="0003319F">
      <w:pPr>
        <w:tabs>
          <w:tab w:val="left" w:pos="1134"/>
        </w:tabs>
        <w:spacing w:line="360" w:lineRule="auto"/>
        <w:ind w:firstLine="1134"/>
        <w:jc w:val="both"/>
        <w:rPr>
          <w:rFonts w:ascii="Arial" w:hAnsi="Arial" w:cs="Arial"/>
          <w:sz w:val="24"/>
          <w:szCs w:val="24"/>
        </w:rPr>
      </w:pPr>
      <w:r>
        <w:rPr>
          <w:rFonts w:ascii="Arial" w:hAnsi="Arial" w:cs="Arial"/>
          <w:sz w:val="24"/>
          <w:szCs w:val="24"/>
        </w:rPr>
        <w:t>Nesse sentindo concluo que, se a entidade que representa esses profissionais é singular, é porque a profissão</w:t>
      </w:r>
      <w:r w:rsidR="00702F38">
        <w:rPr>
          <w:rFonts w:ascii="Arial" w:hAnsi="Arial" w:cs="Arial"/>
          <w:sz w:val="24"/>
          <w:szCs w:val="24"/>
        </w:rPr>
        <w:t xml:space="preserve"> também o é.</w:t>
      </w:r>
      <w:r>
        <w:rPr>
          <w:rFonts w:ascii="Arial" w:hAnsi="Arial" w:cs="Arial"/>
          <w:sz w:val="24"/>
          <w:szCs w:val="24"/>
        </w:rPr>
        <w:t xml:space="preserve">  </w:t>
      </w:r>
    </w:p>
    <w:p w:rsidR="00702F38" w:rsidRDefault="00702F38" w:rsidP="0003319F">
      <w:pPr>
        <w:tabs>
          <w:tab w:val="left" w:pos="1134"/>
        </w:tabs>
        <w:spacing w:line="360" w:lineRule="auto"/>
        <w:ind w:firstLine="1134"/>
        <w:jc w:val="both"/>
        <w:rPr>
          <w:rFonts w:ascii="Arial" w:hAnsi="Arial" w:cs="Arial"/>
          <w:sz w:val="24"/>
          <w:szCs w:val="24"/>
        </w:rPr>
      </w:pPr>
      <w:r>
        <w:rPr>
          <w:rFonts w:ascii="Arial" w:hAnsi="Arial" w:cs="Arial"/>
          <w:sz w:val="24"/>
          <w:szCs w:val="24"/>
        </w:rPr>
        <w:t xml:space="preserve">Trago como exemplo de aprovação de lei dessa natureza, o Projeto de Lei 1.999/2016, de autoria do Deputado Bruno </w:t>
      </w:r>
      <w:proofErr w:type="spellStart"/>
      <w:r>
        <w:rPr>
          <w:rFonts w:ascii="Arial" w:hAnsi="Arial" w:cs="Arial"/>
          <w:sz w:val="24"/>
          <w:szCs w:val="24"/>
        </w:rPr>
        <w:t>Duaire</w:t>
      </w:r>
      <w:proofErr w:type="spellEnd"/>
      <w:r>
        <w:rPr>
          <w:rFonts w:ascii="Arial" w:hAnsi="Arial" w:cs="Arial"/>
          <w:sz w:val="24"/>
          <w:szCs w:val="24"/>
        </w:rPr>
        <w:t xml:space="preserve"> (PR), que foi aprovado pela Assembleia Legislativa do Rio de Janeiro (Lei 7.900/18, do Estado do Rio de Janeiro – publicada DOE do dia 12.03.2018).</w:t>
      </w:r>
    </w:p>
    <w:p w:rsidR="00702F38" w:rsidRDefault="00702F38" w:rsidP="0003319F">
      <w:pPr>
        <w:tabs>
          <w:tab w:val="left" w:pos="1134"/>
        </w:tabs>
        <w:spacing w:line="360" w:lineRule="auto"/>
        <w:ind w:firstLine="1134"/>
        <w:jc w:val="both"/>
        <w:rPr>
          <w:rFonts w:ascii="Arial" w:hAnsi="Arial" w:cs="Arial"/>
          <w:sz w:val="24"/>
          <w:szCs w:val="24"/>
        </w:rPr>
      </w:pPr>
      <w:r>
        <w:rPr>
          <w:rFonts w:ascii="Arial" w:hAnsi="Arial" w:cs="Arial"/>
          <w:sz w:val="24"/>
          <w:szCs w:val="24"/>
        </w:rPr>
        <w:t>Ao julgar o Pedido de Providência n° 1465, o Conselho Nacional de Justiça – CNJ, assim decidiu:</w:t>
      </w:r>
    </w:p>
    <w:p w:rsidR="00702F38" w:rsidRDefault="00702F38" w:rsidP="0003319F">
      <w:pPr>
        <w:tabs>
          <w:tab w:val="left" w:pos="1134"/>
        </w:tabs>
        <w:spacing w:line="360" w:lineRule="auto"/>
        <w:ind w:firstLine="1134"/>
        <w:jc w:val="both"/>
        <w:rPr>
          <w:rFonts w:ascii="Arial" w:hAnsi="Arial" w:cs="Arial"/>
          <w:sz w:val="24"/>
          <w:szCs w:val="24"/>
        </w:rPr>
      </w:pPr>
    </w:p>
    <w:p w:rsidR="00702F38" w:rsidRDefault="00702F38" w:rsidP="00702F38">
      <w:pPr>
        <w:tabs>
          <w:tab w:val="left" w:pos="1134"/>
        </w:tabs>
        <w:spacing w:line="360" w:lineRule="auto"/>
        <w:ind w:left="3402"/>
        <w:jc w:val="both"/>
        <w:rPr>
          <w:rFonts w:ascii="Arial" w:hAnsi="Arial" w:cs="Arial"/>
          <w:sz w:val="24"/>
          <w:szCs w:val="24"/>
        </w:rPr>
      </w:pPr>
      <w:r>
        <w:rPr>
          <w:rFonts w:ascii="Arial" w:hAnsi="Arial" w:cs="Arial"/>
          <w:sz w:val="24"/>
          <w:szCs w:val="24"/>
        </w:rPr>
        <w:t>[...]</w:t>
      </w:r>
    </w:p>
    <w:p w:rsidR="00702F38" w:rsidRDefault="00702F38" w:rsidP="00702F38">
      <w:pPr>
        <w:tabs>
          <w:tab w:val="left" w:pos="1134"/>
        </w:tabs>
        <w:spacing w:line="360" w:lineRule="auto"/>
        <w:ind w:left="3402"/>
        <w:jc w:val="both"/>
        <w:rPr>
          <w:rFonts w:ascii="Arial" w:hAnsi="Arial" w:cs="Arial"/>
          <w:sz w:val="24"/>
          <w:szCs w:val="24"/>
        </w:rPr>
      </w:pPr>
      <w:r>
        <w:rPr>
          <w:rFonts w:ascii="Arial" w:hAnsi="Arial" w:cs="Arial"/>
          <w:sz w:val="24"/>
          <w:szCs w:val="24"/>
        </w:rPr>
        <w:t xml:space="preserve">2) o magistrado é </w:t>
      </w:r>
      <w:r w:rsidRPr="00702F38">
        <w:rPr>
          <w:rFonts w:ascii="Arial" w:hAnsi="Arial" w:cs="Arial"/>
          <w:b/>
          <w:sz w:val="24"/>
          <w:szCs w:val="24"/>
        </w:rPr>
        <w:t>SEMPRE OBRIGADO</w:t>
      </w:r>
      <w:r>
        <w:rPr>
          <w:rFonts w:ascii="Arial" w:hAnsi="Arial" w:cs="Arial"/>
          <w:sz w:val="24"/>
          <w:szCs w:val="24"/>
        </w:rPr>
        <w:t xml:space="preserve"> a receber advogados em seu gabinete de trabalho, a qualquer momento durante o expediente forense, independentemente de estar em meio à elaboração de qualquer despacho, decisão ou sentença, ou mesmo em meio a uma reunião de trabalho. Essa obrigação se constitui em dever funcional previsto na LOMAN e a sua não observância poderá implicar em responsabilização administrativa.</w:t>
      </w:r>
    </w:p>
    <w:p w:rsidR="00702F38" w:rsidRDefault="00702F38" w:rsidP="00702F38">
      <w:pPr>
        <w:tabs>
          <w:tab w:val="left" w:pos="1134"/>
        </w:tabs>
        <w:spacing w:line="360" w:lineRule="auto"/>
        <w:ind w:left="3402"/>
        <w:jc w:val="both"/>
        <w:rPr>
          <w:rFonts w:ascii="Arial" w:hAnsi="Arial" w:cs="Arial"/>
          <w:sz w:val="24"/>
          <w:szCs w:val="24"/>
        </w:rPr>
      </w:pPr>
      <w:r>
        <w:rPr>
          <w:rFonts w:ascii="Arial" w:hAnsi="Arial" w:cs="Arial"/>
          <w:sz w:val="24"/>
          <w:szCs w:val="24"/>
        </w:rPr>
        <w:t>[...]</w:t>
      </w:r>
    </w:p>
    <w:p w:rsidR="00702F38" w:rsidRDefault="00702F38" w:rsidP="00702F38">
      <w:pPr>
        <w:tabs>
          <w:tab w:val="left" w:pos="1134"/>
        </w:tabs>
        <w:spacing w:line="360" w:lineRule="auto"/>
        <w:ind w:left="3402"/>
        <w:jc w:val="both"/>
        <w:rPr>
          <w:rFonts w:ascii="Arial" w:hAnsi="Arial" w:cs="Arial"/>
          <w:sz w:val="24"/>
          <w:szCs w:val="24"/>
        </w:rPr>
      </w:pPr>
    </w:p>
    <w:p w:rsidR="00702F38" w:rsidRDefault="00702F38" w:rsidP="0003319F">
      <w:pPr>
        <w:tabs>
          <w:tab w:val="left" w:pos="1134"/>
        </w:tabs>
        <w:spacing w:line="360" w:lineRule="auto"/>
        <w:ind w:firstLine="1134"/>
        <w:jc w:val="both"/>
        <w:rPr>
          <w:rFonts w:ascii="Arial" w:hAnsi="Arial" w:cs="Arial"/>
          <w:sz w:val="24"/>
          <w:szCs w:val="24"/>
        </w:rPr>
      </w:pPr>
      <w:r>
        <w:rPr>
          <w:rFonts w:ascii="Arial" w:hAnsi="Arial" w:cs="Arial"/>
          <w:sz w:val="24"/>
          <w:szCs w:val="24"/>
        </w:rPr>
        <w:t xml:space="preserve">Com essas considerações, considerando as prerrogativas previstas no art. 133 da Constituição Federal de 1988, notadamente aquela do art. 7°, inciso VIII da Lei n°8.906/1944, que garante dirigir-se diretamente aos magistrados nas salas e gabinetes de trabalho, independentemente de horário previamente marcado ou </w:t>
      </w:r>
      <w:r>
        <w:rPr>
          <w:rFonts w:ascii="Arial" w:hAnsi="Arial" w:cs="Arial"/>
          <w:sz w:val="24"/>
          <w:szCs w:val="24"/>
        </w:rPr>
        <w:lastRenderedPageBreak/>
        <w:t>outra condição, observando-se a ordem de chegada, solicito apoio dos meus pares para discussão e aprovação do presente projeto de lei.</w:t>
      </w:r>
    </w:p>
    <w:p w:rsidR="00702F38" w:rsidRDefault="00702F38" w:rsidP="0003319F">
      <w:pPr>
        <w:tabs>
          <w:tab w:val="left" w:pos="1134"/>
        </w:tabs>
        <w:spacing w:line="360" w:lineRule="auto"/>
        <w:ind w:firstLine="1134"/>
        <w:jc w:val="both"/>
        <w:rPr>
          <w:rFonts w:ascii="Arial" w:hAnsi="Arial" w:cs="Arial"/>
          <w:sz w:val="24"/>
          <w:szCs w:val="24"/>
        </w:rPr>
      </w:pPr>
    </w:p>
    <w:p w:rsidR="00702F38" w:rsidRDefault="00702F38" w:rsidP="00702F38">
      <w:pPr>
        <w:pStyle w:val="Corpodetexto"/>
        <w:spacing w:line="360" w:lineRule="auto"/>
        <w:ind w:firstLine="1418"/>
        <w:rPr>
          <w:rFonts w:ascii="Arial" w:hAnsi="Arial"/>
          <w:b/>
        </w:rPr>
      </w:pPr>
      <w:r>
        <w:rPr>
          <w:rFonts w:ascii="Arial" w:hAnsi="Arial"/>
          <w:b/>
        </w:rPr>
        <w:t xml:space="preserve">Plenário “Deputado Nagib </w:t>
      </w:r>
      <w:proofErr w:type="spellStart"/>
      <w:r>
        <w:rPr>
          <w:rFonts w:ascii="Arial" w:hAnsi="Arial"/>
          <w:b/>
        </w:rPr>
        <w:t>Haickel</w:t>
      </w:r>
      <w:proofErr w:type="spellEnd"/>
      <w:r>
        <w:rPr>
          <w:rFonts w:ascii="Arial" w:hAnsi="Arial"/>
          <w:b/>
        </w:rPr>
        <w:t xml:space="preserve">” do Palácio “Manoel Bequimão”, em São Luís, </w:t>
      </w:r>
      <w:r w:rsidR="000B0745">
        <w:rPr>
          <w:rFonts w:ascii="Arial" w:hAnsi="Arial"/>
          <w:b/>
        </w:rPr>
        <w:t>03 de abril</w:t>
      </w:r>
      <w:r>
        <w:rPr>
          <w:rFonts w:ascii="Arial" w:hAnsi="Arial"/>
          <w:b/>
        </w:rPr>
        <w:t xml:space="preserve"> de 2018.</w:t>
      </w:r>
    </w:p>
    <w:p w:rsidR="00702F38" w:rsidRDefault="00702F38" w:rsidP="00702F38">
      <w:pPr>
        <w:pStyle w:val="Corpodetexto"/>
        <w:spacing w:line="360" w:lineRule="auto"/>
        <w:ind w:firstLine="1418"/>
        <w:rPr>
          <w:rFonts w:ascii="Arial" w:hAnsi="Arial"/>
          <w:b/>
        </w:rPr>
      </w:pPr>
    </w:p>
    <w:p w:rsidR="00702F38" w:rsidRDefault="00702F38" w:rsidP="00702F38">
      <w:pPr>
        <w:pStyle w:val="Corpodetexto"/>
        <w:rPr>
          <w:rFonts w:ascii="Arial" w:hAnsi="Arial"/>
          <w:b/>
        </w:rPr>
      </w:pPr>
    </w:p>
    <w:p w:rsidR="00702F38" w:rsidRDefault="00702F38" w:rsidP="00702F38">
      <w:pPr>
        <w:jc w:val="center"/>
        <w:rPr>
          <w:b/>
          <w:sz w:val="24"/>
          <w:szCs w:val="24"/>
        </w:rPr>
      </w:pPr>
      <w:r>
        <w:rPr>
          <w:b/>
          <w:sz w:val="24"/>
          <w:szCs w:val="24"/>
        </w:rPr>
        <w:t>GLALBERT CUTRIM</w:t>
      </w:r>
    </w:p>
    <w:p w:rsidR="00702F38" w:rsidRDefault="00702F38" w:rsidP="00702F38">
      <w:pPr>
        <w:jc w:val="center"/>
      </w:pPr>
      <w:r>
        <w:rPr>
          <w:b/>
          <w:sz w:val="24"/>
          <w:szCs w:val="24"/>
        </w:rPr>
        <w:t>Dep. Estadual</w:t>
      </w:r>
    </w:p>
    <w:p w:rsidR="00702F38" w:rsidRDefault="00702F38" w:rsidP="0003319F">
      <w:pPr>
        <w:tabs>
          <w:tab w:val="left" w:pos="1134"/>
        </w:tabs>
        <w:spacing w:line="360" w:lineRule="auto"/>
        <w:ind w:firstLine="1134"/>
        <w:jc w:val="both"/>
        <w:rPr>
          <w:rFonts w:ascii="Arial" w:hAnsi="Arial" w:cs="Arial"/>
          <w:sz w:val="24"/>
          <w:szCs w:val="24"/>
        </w:rPr>
      </w:pPr>
    </w:p>
    <w:p w:rsidR="00702F38" w:rsidRPr="008062F0" w:rsidRDefault="00702F38" w:rsidP="0003319F">
      <w:pPr>
        <w:tabs>
          <w:tab w:val="left" w:pos="1134"/>
        </w:tabs>
        <w:spacing w:line="360" w:lineRule="auto"/>
        <w:ind w:firstLine="1134"/>
        <w:jc w:val="both"/>
        <w:rPr>
          <w:rFonts w:ascii="Arial" w:hAnsi="Arial" w:cs="Arial"/>
          <w:sz w:val="24"/>
          <w:szCs w:val="24"/>
        </w:rPr>
      </w:pPr>
    </w:p>
    <w:p w:rsidR="00AA10FE" w:rsidRPr="0003319F" w:rsidRDefault="00AA10FE" w:rsidP="0003319F">
      <w:pPr>
        <w:tabs>
          <w:tab w:val="left" w:pos="1134"/>
        </w:tabs>
        <w:spacing w:line="360" w:lineRule="auto"/>
        <w:ind w:firstLine="1134"/>
        <w:jc w:val="both"/>
        <w:rPr>
          <w:rFonts w:ascii="Arial" w:hAnsi="Arial" w:cs="Arial"/>
          <w:sz w:val="24"/>
          <w:szCs w:val="24"/>
        </w:rPr>
      </w:pPr>
    </w:p>
    <w:sectPr w:rsidR="00AA10FE" w:rsidRPr="0003319F" w:rsidSect="0003319F">
      <w:headerReference w:type="default" r:id="rId6"/>
      <w:pgSz w:w="12240" w:h="15840"/>
      <w:pgMar w:top="1134" w:right="1701"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489" w:rsidRDefault="000E0489">
      <w:r>
        <w:separator/>
      </w:r>
    </w:p>
  </w:endnote>
  <w:endnote w:type="continuationSeparator" w:id="0">
    <w:p w:rsidR="000E0489" w:rsidRDefault="000E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489" w:rsidRDefault="000E0489">
      <w:r>
        <w:separator/>
      </w:r>
    </w:p>
  </w:footnote>
  <w:footnote w:type="continuationSeparator" w:id="0">
    <w:p w:rsidR="000E0489" w:rsidRDefault="000E0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137" w:rsidRDefault="00812E64" w:rsidP="00E30137">
    <w:pPr>
      <w:pStyle w:val="Cabealho"/>
      <w:ind w:right="360"/>
      <w:jc w:val="center"/>
      <w:rPr>
        <w:b/>
        <w:color w:val="000080"/>
        <w:szCs w:val="24"/>
      </w:rPr>
    </w:pPr>
    <w:r>
      <w:rPr>
        <w:noProof/>
        <w:szCs w:val="24"/>
      </w:rPr>
      <w:drawing>
        <wp:inline distT="0" distB="0" distL="0" distR="0" wp14:anchorId="7BCC55C4" wp14:editId="69033E4E">
          <wp:extent cx="956310" cy="81978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6310" cy="819785"/>
                  </a:xfrm>
                  <a:prstGeom prst="rect">
                    <a:avLst/>
                  </a:prstGeom>
                  <a:noFill/>
                  <a:ln>
                    <a:noFill/>
                  </a:ln>
                </pic:spPr>
              </pic:pic>
            </a:graphicData>
          </a:graphic>
        </wp:inline>
      </w:drawing>
    </w:r>
  </w:p>
  <w:p w:rsidR="00E30137" w:rsidRDefault="00812E64" w:rsidP="00E30137">
    <w:pPr>
      <w:pStyle w:val="Cabealho"/>
      <w:jc w:val="center"/>
      <w:rPr>
        <w:b/>
        <w:szCs w:val="24"/>
      </w:rPr>
    </w:pPr>
    <w:r>
      <w:rPr>
        <w:b/>
        <w:szCs w:val="24"/>
      </w:rPr>
      <w:t>ESTADO DO MARANHÃO</w:t>
    </w:r>
  </w:p>
  <w:p w:rsidR="00E30137" w:rsidRDefault="00812E64" w:rsidP="00E30137">
    <w:pPr>
      <w:pStyle w:val="Cabealho"/>
      <w:jc w:val="center"/>
      <w:rPr>
        <w:b/>
        <w:szCs w:val="24"/>
      </w:rPr>
    </w:pPr>
    <w:r>
      <w:rPr>
        <w:b/>
        <w:szCs w:val="24"/>
      </w:rPr>
      <w:t>ASSEMBLÉIA LEGISLATIVA DO MARANHÃO</w:t>
    </w:r>
  </w:p>
  <w:p w:rsidR="00E30137" w:rsidRPr="00D56006" w:rsidRDefault="00812E64" w:rsidP="00E30137">
    <w:pPr>
      <w:pStyle w:val="Rodap"/>
      <w:jc w:val="center"/>
      <w:rPr>
        <w:color w:val="000000"/>
        <w:sz w:val="24"/>
        <w:szCs w:val="24"/>
      </w:rPr>
    </w:pPr>
    <w:r w:rsidRPr="00D56006">
      <w:rPr>
        <w:color w:val="000000"/>
        <w:sz w:val="24"/>
        <w:szCs w:val="24"/>
      </w:rPr>
      <w:t xml:space="preserve">Gabinete do Deputado </w:t>
    </w:r>
    <w:proofErr w:type="spellStart"/>
    <w:r w:rsidRPr="00D56006">
      <w:rPr>
        <w:color w:val="000000"/>
        <w:sz w:val="24"/>
        <w:szCs w:val="24"/>
      </w:rPr>
      <w:t>Glalbert</w:t>
    </w:r>
    <w:proofErr w:type="spellEnd"/>
    <w:r w:rsidRPr="00D56006">
      <w:rPr>
        <w:color w:val="000000"/>
        <w:sz w:val="24"/>
        <w:szCs w:val="24"/>
      </w:rPr>
      <w:t xml:space="preserve"> </w:t>
    </w:r>
    <w:proofErr w:type="spellStart"/>
    <w:r w:rsidRPr="00D56006">
      <w:rPr>
        <w:color w:val="000000"/>
        <w:sz w:val="24"/>
        <w:szCs w:val="24"/>
      </w:rPr>
      <w:t>Cutrim</w:t>
    </w:r>
    <w:proofErr w:type="spellEnd"/>
  </w:p>
  <w:p w:rsidR="00E30137" w:rsidRDefault="00812E64" w:rsidP="00E30137">
    <w:pPr>
      <w:pStyle w:val="Rodap"/>
      <w:jc w:val="center"/>
      <w:rPr>
        <w:color w:val="000000"/>
        <w:sz w:val="18"/>
      </w:rPr>
    </w:pPr>
    <w:r>
      <w:rPr>
        <w:color w:val="000000"/>
        <w:sz w:val="18"/>
      </w:rPr>
      <w:t>Av. Jerônimo de Albuquerque, S/N, Sítio Rangedor – COHAFUMA/CEP: 65.071-750</w:t>
    </w:r>
  </w:p>
  <w:p w:rsidR="00D56006" w:rsidRDefault="00812E64" w:rsidP="00D56006">
    <w:pPr>
      <w:pStyle w:val="Rodap"/>
      <w:jc w:val="center"/>
    </w:pPr>
    <w:r>
      <w:t xml:space="preserve">Fone: Geral (098) 3269-3222/3223 </w:t>
    </w:r>
  </w:p>
  <w:p w:rsidR="00E30137" w:rsidRPr="00D56006" w:rsidRDefault="00812E64" w:rsidP="00D56006">
    <w:pPr>
      <w:pStyle w:val="Rodap"/>
      <w:jc w:val="center"/>
    </w:pPr>
    <w:r>
      <w:rPr>
        <w:color w:val="000000"/>
        <w:sz w:val="18"/>
      </w:rPr>
      <w:t>São Luís – Maranhão</w:t>
    </w:r>
  </w:p>
  <w:p w:rsidR="00C41A59" w:rsidRDefault="000E048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D5"/>
    <w:rsid w:val="0003319F"/>
    <w:rsid w:val="00050DDA"/>
    <w:rsid w:val="000B0745"/>
    <w:rsid w:val="000E0489"/>
    <w:rsid w:val="0014410F"/>
    <w:rsid w:val="00207C2B"/>
    <w:rsid w:val="002E357F"/>
    <w:rsid w:val="00337599"/>
    <w:rsid w:val="005D7355"/>
    <w:rsid w:val="00635872"/>
    <w:rsid w:val="00702F38"/>
    <w:rsid w:val="007935D5"/>
    <w:rsid w:val="008062F0"/>
    <w:rsid w:val="00812E64"/>
    <w:rsid w:val="00830A3E"/>
    <w:rsid w:val="00873232"/>
    <w:rsid w:val="0088675F"/>
    <w:rsid w:val="00A61848"/>
    <w:rsid w:val="00AA10FE"/>
    <w:rsid w:val="00C07247"/>
    <w:rsid w:val="00D0533F"/>
    <w:rsid w:val="00DE69E4"/>
    <w:rsid w:val="00E938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E0AC7-3B4F-4CC5-B940-86134CE9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D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DE69E4"/>
    <w:pPr>
      <w:widowControl w:val="0"/>
      <w:autoSpaceDE w:val="0"/>
      <w:autoSpaceDN w:val="0"/>
      <w:adjustRightInd w:val="0"/>
      <w:outlineLvl w:val="0"/>
    </w:pPr>
    <w:rPr>
      <w:rFonts w:ascii="Arial" w:eastAsiaTheme="minorEastAsia"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935D5"/>
    <w:pPr>
      <w:tabs>
        <w:tab w:val="center" w:pos="4419"/>
        <w:tab w:val="right" w:pos="8838"/>
      </w:tabs>
    </w:pPr>
  </w:style>
  <w:style w:type="character" w:customStyle="1" w:styleId="CabealhoChar">
    <w:name w:val="Cabeçalho Char"/>
    <w:basedOn w:val="Fontepargpadro"/>
    <w:link w:val="Cabealho"/>
    <w:rsid w:val="007935D5"/>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935D5"/>
    <w:pPr>
      <w:tabs>
        <w:tab w:val="center" w:pos="4252"/>
        <w:tab w:val="right" w:pos="8504"/>
      </w:tabs>
    </w:pPr>
  </w:style>
  <w:style w:type="character" w:customStyle="1" w:styleId="RodapChar">
    <w:name w:val="Rodapé Char"/>
    <w:basedOn w:val="Fontepargpadro"/>
    <w:link w:val="Rodap"/>
    <w:rsid w:val="007935D5"/>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337599"/>
    <w:pPr>
      <w:spacing w:before="100" w:beforeAutospacing="1" w:after="100" w:afterAutospacing="1"/>
    </w:pPr>
    <w:rPr>
      <w:sz w:val="24"/>
      <w:szCs w:val="24"/>
    </w:rPr>
  </w:style>
  <w:style w:type="character" w:customStyle="1" w:styleId="apple-converted-space">
    <w:name w:val="apple-converted-space"/>
    <w:basedOn w:val="Fontepargpadro"/>
    <w:rsid w:val="00337599"/>
  </w:style>
  <w:style w:type="character" w:customStyle="1" w:styleId="Ttulo1Char">
    <w:name w:val="Título 1 Char"/>
    <w:basedOn w:val="Fontepargpadro"/>
    <w:link w:val="Ttulo1"/>
    <w:uiPriority w:val="99"/>
    <w:rsid w:val="00DE69E4"/>
    <w:rPr>
      <w:rFonts w:ascii="Arial" w:eastAsiaTheme="minorEastAsia" w:hAnsi="Arial" w:cs="Arial"/>
      <w:sz w:val="24"/>
      <w:szCs w:val="24"/>
      <w:lang w:eastAsia="pt-BR"/>
    </w:rPr>
  </w:style>
  <w:style w:type="paragraph" w:styleId="Textodebalo">
    <w:name w:val="Balloon Text"/>
    <w:basedOn w:val="Normal"/>
    <w:link w:val="TextodebaloChar"/>
    <w:uiPriority w:val="99"/>
    <w:semiHidden/>
    <w:unhideWhenUsed/>
    <w:rsid w:val="002E357F"/>
    <w:rPr>
      <w:rFonts w:ascii="Segoe UI" w:hAnsi="Segoe UI" w:cs="Segoe UI"/>
      <w:sz w:val="18"/>
      <w:szCs w:val="18"/>
    </w:rPr>
  </w:style>
  <w:style w:type="character" w:customStyle="1" w:styleId="TextodebaloChar">
    <w:name w:val="Texto de balão Char"/>
    <w:basedOn w:val="Fontepargpadro"/>
    <w:link w:val="Textodebalo"/>
    <w:uiPriority w:val="99"/>
    <w:semiHidden/>
    <w:rsid w:val="002E357F"/>
    <w:rPr>
      <w:rFonts w:ascii="Segoe UI" w:eastAsia="Times New Roman" w:hAnsi="Segoe UI" w:cs="Segoe UI"/>
      <w:sz w:val="18"/>
      <w:szCs w:val="18"/>
      <w:lang w:eastAsia="pt-BR"/>
    </w:rPr>
  </w:style>
  <w:style w:type="paragraph" w:styleId="Corpodetexto">
    <w:name w:val="Body Text"/>
    <w:basedOn w:val="Normal"/>
    <w:link w:val="CorpodetextoChar"/>
    <w:rsid w:val="0003319F"/>
    <w:pPr>
      <w:jc w:val="both"/>
    </w:pPr>
    <w:rPr>
      <w:rFonts w:ascii="Courier New" w:hAnsi="Courier New"/>
      <w:sz w:val="24"/>
    </w:rPr>
  </w:style>
  <w:style w:type="character" w:customStyle="1" w:styleId="CorpodetextoChar">
    <w:name w:val="Corpo de texto Char"/>
    <w:basedOn w:val="Fontepargpadro"/>
    <w:link w:val="Corpodetexto"/>
    <w:rsid w:val="0003319F"/>
    <w:rPr>
      <w:rFonts w:ascii="Courier New" w:eastAsia="Times New Roman" w:hAnsi="Courier New"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02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1182</Words>
  <Characters>6389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Renard Lima de Araújo</dc:creator>
  <cp:keywords/>
  <dc:description/>
  <cp:lastModifiedBy>Marcio Renard Lima de Araújo</cp:lastModifiedBy>
  <cp:revision>2</cp:revision>
  <cp:lastPrinted>2018-04-03T14:13:00Z</cp:lastPrinted>
  <dcterms:created xsi:type="dcterms:W3CDTF">2018-04-05T13:48:00Z</dcterms:created>
  <dcterms:modified xsi:type="dcterms:W3CDTF">2018-04-05T13:48:00Z</dcterms:modified>
</cp:coreProperties>
</file>