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BF" w:rsidRPr="00B20394" w:rsidRDefault="003827BF" w:rsidP="003827B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B20394">
        <w:rPr>
          <w:rFonts w:asciiTheme="majorHAnsi" w:hAnsiTheme="majorHAnsi" w:cs="Arial"/>
          <w:b/>
          <w:sz w:val="24"/>
          <w:szCs w:val="24"/>
        </w:rPr>
        <w:t>Projeto de Lei</w:t>
      </w:r>
    </w:p>
    <w:p w:rsidR="003827BF" w:rsidRPr="00B20394" w:rsidRDefault="003827BF" w:rsidP="005B023E">
      <w:pPr>
        <w:jc w:val="center"/>
        <w:rPr>
          <w:rFonts w:asciiTheme="majorHAnsi" w:hAnsiTheme="majorHAnsi" w:cs="Arial"/>
          <w:sz w:val="24"/>
          <w:szCs w:val="24"/>
        </w:rPr>
      </w:pPr>
      <w:r w:rsidRPr="00B20394">
        <w:rPr>
          <w:rFonts w:asciiTheme="majorHAnsi" w:hAnsiTheme="majorHAnsi" w:cs="Arial"/>
          <w:sz w:val="24"/>
          <w:szCs w:val="24"/>
        </w:rPr>
        <w:t xml:space="preserve">Deputada Dra. </w:t>
      </w:r>
      <w:proofErr w:type="spellStart"/>
      <w:r w:rsidRPr="00B20394">
        <w:rPr>
          <w:rFonts w:asciiTheme="majorHAnsi" w:hAnsiTheme="majorHAnsi" w:cs="Arial"/>
          <w:sz w:val="24"/>
          <w:szCs w:val="24"/>
        </w:rPr>
        <w:t>Thaíza</w:t>
      </w:r>
      <w:proofErr w:type="spellEnd"/>
      <w:r w:rsidRPr="00B2039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20394">
        <w:rPr>
          <w:rFonts w:asciiTheme="majorHAnsi" w:hAnsiTheme="majorHAnsi" w:cs="Arial"/>
          <w:sz w:val="24"/>
          <w:szCs w:val="24"/>
        </w:rPr>
        <w:t>Hortegal</w:t>
      </w:r>
      <w:proofErr w:type="spellEnd"/>
    </w:p>
    <w:p w:rsidR="003827BF" w:rsidRPr="00B20394" w:rsidRDefault="003827BF" w:rsidP="003827BF">
      <w:pPr>
        <w:ind w:left="3402"/>
        <w:jc w:val="both"/>
        <w:rPr>
          <w:rFonts w:asciiTheme="majorHAnsi" w:hAnsiTheme="majorHAnsi" w:cs="Arial"/>
          <w:i/>
          <w:sz w:val="24"/>
          <w:szCs w:val="24"/>
        </w:rPr>
      </w:pPr>
    </w:p>
    <w:p w:rsidR="00A970E8" w:rsidRPr="00B20394" w:rsidRDefault="00A970E8" w:rsidP="00B20394">
      <w:pPr>
        <w:ind w:left="3969"/>
        <w:jc w:val="both"/>
        <w:rPr>
          <w:rFonts w:asciiTheme="majorHAnsi" w:hAnsiTheme="majorHAnsi"/>
          <w:sz w:val="24"/>
          <w:szCs w:val="24"/>
        </w:rPr>
      </w:pPr>
      <w:r w:rsidRPr="00B20394">
        <w:rPr>
          <w:rFonts w:asciiTheme="majorHAnsi" w:hAnsiTheme="majorHAnsi"/>
          <w:sz w:val="24"/>
          <w:szCs w:val="24"/>
        </w:rPr>
        <w:t>Dispõe sobre a impossibilidade de investidura em cargo público, ante a existência de condenação, com trânsito em julgado, pela prática de qualquer modalidade de abuso sexual contra menor (pedofilia)</w:t>
      </w:r>
      <w:r w:rsidR="009F567B" w:rsidRPr="00B20394">
        <w:rPr>
          <w:rFonts w:asciiTheme="majorHAnsi" w:hAnsiTheme="majorHAnsi"/>
          <w:sz w:val="24"/>
          <w:szCs w:val="24"/>
        </w:rPr>
        <w:t xml:space="preserve">, </w:t>
      </w:r>
      <w:r w:rsidR="008A0584" w:rsidRPr="00B20394">
        <w:rPr>
          <w:rFonts w:asciiTheme="majorHAnsi" w:hAnsiTheme="majorHAnsi"/>
          <w:sz w:val="24"/>
          <w:szCs w:val="24"/>
        </w:rPr>
        <w:t>violência contra a mulher</w:t>
      </w:r>
      <w:r w:rsidR="003A2352" w:rsidRPr="00B20394">
        <w:rPr>
          <w:rFonts w:asciiTheme="majorHAnsi" w:hAnsiTheme="majorHAnsi"/>
          <w:sz w:val="24"/>
          <w:szCs w:val="24"/>
        </w:rPr>
        <w:t xml:space="preserve"> </w:t>
      </w:r>
      <w:r w:rsidR="008A0584" w:rsidRPr="00B20394">
        <w:rPr>
          <w:rFonts w:asciiTheme="majorHAnsi" w:hAnsiTheme="majorHAnsi"/>
          <w:sz w:val="24"/>
          <w:szCs w:val="24"/>
        </w:rPr>
        <w:t>(feminicídio), intolerância, discriminação ou do preconceito por sexo, orientação sexual e identidade de gênero</w:t>
      </w:r>
      <w:r w:rsidR="007D7437" w:rsidRPr="00B20394">
        <w:rPr>
          <w:rFonts w:asciiTheme="majorHAnsi" w:hAnsiTheme="majorHAnsi"/>
          <w:sz w:val="24"/>
          <w:szCs w:val="24"/>
        </w:rPr>
        <w:t xml:space="preserve"> (homofobia)</w:t>
      </w:r>
      <w:r w:rsidR="005F4154" w:rsidRPr="00B20394">
        <w:rPr>
          <w:rFonts w:asciiTheme="majorHAnsi" w:hAnsiTheme="majorHAnsi"/>
          <w:sz w:val="24"/>
          <w:szCs w:val="24"/>
        </w:rPr>
        <w:t>.</w:t>
      </w:r>
    </w:p>
    <w:p w:rsidR="00A01F6B" w:rsidRPr="00B20394" w:rsidRDefault="00A01F6B" w:rsidP="000F0651">
      <w:pPr>
        <w:ind w:left="2835"/>
        <w:jc w:val="both"/>
        <w:rPr>
          <w:rFonts w:asciiTheme="majorHAnsi" w:hAnsiTheme="majorHAnsi" w:cs="Arial"/>
          <w:i/>
          <w:sz w:val="24"/>
          <w:szCs w:val="24"/>
        </w:rPr>
      </w:pPr>
      <w:bookmarkStart w:id="0" w:name="_GoBack"/>
      <w:bookmarkEnd w:id="0"/>
    </w:p>
    <w:p w:rsidR="003827BF" w:rsidRPr="00B20394" w:rsidRDefault="003827BF" w:rsidP="006A6393">
      <w:pPr>
        <w:rPr>
          <w:rFonts w:asciiTheme="majorHAnsi" w:hAnsiTheme="majorHAnsi" w:cs="Arial"/>
          <w:sz w:val="24"/>
          <w:szCs w:val="24"/>
        </w:rPr>
      </w:pPr>
      <w:r w:rsidRPr="00B20394">
        <w:rPr>
          <w:rFonts w:asciiTheme="majorHAnsi" w:hAnsiTheme="majorHAnsi" w:cs="Arial"/>
          <w:sz w:val="24"/>
          <w:szCs w:val="24"/>
        </w:rPr>
        <w:t>A Assembléia Legislativa do Maranhão decreta:</w:t>
      </w:r>
    </w:p>
    <w:p w:rsidR="004E028F" w:rsidRPr="00B20394" w:rsidRDefault="004E028F" w:rsidP="006A6393">
      <w:pPr>
        <w:rPr>
          <w:rFonts w:asciiTheme="majorHAnsi" w:hAnsiTheme="majorHAnsi"/>
          <w:sz w:val="24"/>
          <w:szCs w:val="24"/>
        </w:rPr>
      </w:pPr>
    </w:p>
    <w:p w:rsidR="00C45AB7" w:rsidRDefault="00A970E8" w:rsidP="006A6393">
      <w:pPr>
        <w:pStyle w:val="Ttulo1"/>
        <w:spacing w:line="276" w:lineRule="auto"/>
        <w:jc w:val="both"/>
        <w:rPr>
          <w:rFonts w:asciiTheme="majorHAnsi" w:hAnsiTheme="majorHAnsi"/>
        </w:rPr>
      </w:pPr>
      <w:r w:rsidRPr="00B20394">
        <w:rPr>
          <w:rFonts w:asciiTheme="majorHAnsi" w:eastAsiaTheme="minorEastAsia" w:hAnsiTheme="majorHAnsi"/>
          <w:b/>
          <w:bCs/>
        </w:rPr>
        <w:t xml:space="preserve">Art. 1º - </w:t>
      </w:r>
      <w:r w:rsidRPr="00B20394">
        <w:rPr>
          <w:rFonts w:asciiTheme="majorHAnsi" w:eastAsiaTheme="minorEastAsia" w:hAnsiTheme="majorHAnsi"/>
        </w:rPr>
        <w:t xml:space="preserve">Fica vedada a investidura em cargo público da administração pública direta, indireta, autarquias e fundações, no âmbito do Estado </w:t>
      </w:r>
      <w:r w:rsidR="005F4154" w:rsidRPr="00B20394">
        <w:rPr>
          <w:rFonts w:asciiTheme="majorHAnsi" w:eastAsiaTheme="minorEastAsia" w:hAnsiTheme="majorHAnsi"/>
        </w:rPr>
        <w:t>do Maranhão</w:t>
      </w:r>
      <w:r w:rsidRPr="00B20394">
        <w:rPr>
          <w:rFonts w:asciiTheme="majorHAnsi" w:eastAsiaTheme="minorEastAsia" w:hAnsiTheme="majorHAnsi"/>
        </w:rPr>
        <w:t>, por candidato que tenha sido condenado, com sentença transitada em julgado, pela prática de qualquer modalidade de abuso sexual contra menor (pedofilia),</w:t>
      </w:r>
      <w:r w:rsidR="005F4154" w:rsidRPr="00B20394">
        <w:rPr>
          <w:rFonts w:asciiTheme="majorHAnsi" w:hAnsiTheme="majorHAnsi"/>
        </w:rPr>
        <w:t xml:space="preserve">  violência contra a mulher (feminicídio)</w:t>
      </w:r>
      <w:r w:rsidR="00DF3A5E">
        <w:rPr>
          <w:rFonts w:asciiTheme="majorHAnsi" w:hAnsiTheme="majorHAnsi"/>
        </w:rPr>
        <w:t xml:space="preserve">, conforme prevê Lei </w:t>
      </w:r>
      <w:r w:rsidR="00C45AB7">
        <w:rPr>
          <w:rFonts w:asciiTheme="majorHAnsi" w:hAnsiTheme="majorHAnsi"/>
        </w:rPr>
        <w:t>nº 11.340/2006</w:t>
      </w:r>
      <w:r w:rsidR="005F4154" w:rsidRPr="00B20394">
        <w:rPr>
          <w:rFonts w:asciiTheme="majorHAnsi" w:hAnsiTheme="majorHAnsi"/>
        </w:rPr>
        <w:t>, intolerância, discriminação ou preconceito por sexo, orientação sexual e identidade de gênero (homofobia)</w:t>
      </w:r>
      <w:r w:rsidR="00FA3628">
        <w:rPr>
          <w:rFonts w:asciiTheme="majorHAnsi" w:hAnsiTheme="majorHAnsi"/>
        </w:rPr>
        <w:t>.</w:t>
      </w:r>
    </w:p>
    <w:p w:rsidR="00C45AB7" w:rsidRDefault="00C45AB7" w:rsidP="006A6393">
      <w:pPr>
        <w:pStyle w:val="Ttulo1"/>
        <w:spacing w:line="276" w:lineRule="auto"/>
        <w:jc w:val="both"/>
        <w:rPr>
          <w:rFonts w:asciiTheme="majorHAnsi" w:eastAsiaTheme="minorEastAsia" w:hAnsiTheme="majorHAnsi"/>
        </w:rPr>
      </w:pPr>
    </w:p>
    <w:p w:rsidR="00A970E8" w:rsidRPr="00B20394" w:rsidRDefault="00C45AB7" w:rsidP="006A6393">
      <w:pPr>
        <w:pStyle w:val="Ttulo1"/>
        <w:spacing w:line="276" w:lineRule="auto"/>
        <w:jc w:val="both"/>
        <w:rPr>
          <w:rFonts w:asciiTheme="majorHAnsi" w:eastAsiaTheme="minorEastAsia" w:hAnsiTheme="majorHAnsi"/>
        </w:rPr>
      </w:pPr>
      <w:r w:rsidRPr="00C45AB7">
        <w:rPr>
          <w:rFonts w:asciiTheme="majorHAnsi" w:eastAsiaTheme="minorEastAsia" w:hAnsiTheme="majorHAnsi"/>
          <w:b/>
        </w:rPr>
        <w:t>Art. 2º</w:t>
      </w:r>
      <w:r>
        <w:rPr>
          <w:rFonts w:asciiTheme="majorHAnsi" w:eastAsiaTheme="minorEastAsia" w:hAnsiTheme="majorHAnsi"/>
        </w:rPr>
        <w:t xml:space="preserve"> - a vedação de que trata o caput do artigo, valerá </w:t>
      </w:r>
      <w:r w:rsidR="00A970E8" w:rsidRPr="00B20394">
        <w:rPr>
          <w:rFonts w:asciiTheme="majorHAnsi" w:eastAsiaTheme="minorEastAsia" w:hAnsiTheme="majorHAnsi"/>
        </w:rPr>
        <w:t xml:space="preserve">ainda que cumprida a pena. </w:t>
      </w:r>
    </w:p>
    <w:p w:rsidR="00A970E8" w:rsidRPr="00B20394" w:rsidRDefault="00A970E8" w:rsidP="006A6393">
      <w:pPr>
        <w:pStyle w:val="Ttulo1"/>
        <w:spacing w:line="276" w:lineRule="auto"/>
        <w:jc w:val="both"/>
        <w:rPr>
          <w:rFonts w:asciiTheme="majorHAnsi" w:eastAsiaTheme="minorEastAsia" w:hAnsiTheme="majorHAnsi"/>
        </w:rPr>
      </w:pPr>
    </w:p>
    <w:p w:rsidR="00A970E8" w:rsidRPr="00B20394" w:rsidRDefault="00A970E8" w:rsidP="006A6393">
      <w:pPr>
        <w:pStyle w:val="Ttulo1"/>
        <w:spacing w:line="276" w:lineRule="auto"/>
        <w:jc w:val="both"/>
        <w:rPr>
          <w:rFonts w:asciiTheme="majorHAnsi" w:eastAsiaTheme="minorEastAsia" w:hAnsiTheme="majorHAnsi"/>
        </w:rPr>
      </w:pPr>
      <w:r w:rsidRPr="00B20394">
        <w:rPr>
          <w:rFonts w:asciiTheme="majorHAnsi" w:eastAsiaTheme="minorEastAsia" w:hAnsiTheme="majorHAnsi"/>
          <w:b/>
          <w:bCs/>
        </w:rPr>
        <w:t xml:space="preserve">Art. </w:t>
      </w:r>
      <w:r w:rsidR="00C45AB7">
        <w:rPr>
          <w:rFonts w:asciiTheme="majorHAnsi" w:eastAsiaTheme="minorEastAsia" w:hAnsiTheme="majorHAnsi"/>
          <w:b/>
          <w:bCs/>
        </w:rPr>
        <w:t>3</w:t>
      </w:r>
      <w:r w:rsidRPr="00B20394">
        <w:rPr>
          <w:rFonts w:asciiTheme="majorHAnsi" w:eastAsiaTheme="minorEastAsia" w:hAnsiTheme="majorHAnsi"/>
          <w:b/>
          <w:bCs/>
        </w:rPr>
        <w:t xml:space="preserve">º - </w:t>
      </w:r>
      <w:r w:rsidRPr="00B20394">
        <w:rPr>
          <w:rFonts w:asciiTheme="majorHAnsi" w:eastAsiaTheme="minorEastAsia" w:hAnsiTheme="majorHAnsi"/>
        </w:rPr>
        <w:t>Esta lei entra em vigor na data de sua publicação.</w:t>
      </w:r>
    </w:p>
    <w:p w:rsidR="003827BF" w:rsidRPr="00B20394" w:rsidRDefault="003827BF" w:rsidP="006A6393">
      <w:pPr>
        <w:rPr>
          <w:rFonts w:asciiTheme="majorHAnsi" w:hAnsiTheme="majorHAnsi"/>
          <w:sz w:val="24"/>
          <w:szCs w:val="24"/>
        </w:rPr>
      </w:pPr>
    </w:p>
    <w:p w:rsidR="006D0E6E" w:rsidRDefault="006D0E6E" w:rsidP="00B20394">
      <w:pPr>
        <w:pStyle w:val="Ttulo1"/>
        <w:spacing w:line="276" w:lineRule="auto"/>
        <w:jc w:val="center"/>
        <w:rPr>
          <w:rFonts w:asciiTheme="majorHAnsi" w:eastAsiaTheme="minorEastAsia" w:hAnsiTheme="majorHAnsi"/>
          <w:b/>
          <w:bCs/>
        </w:rPr>
      </w:pPr>
    </w:p>
    <w:p w:rsidR="006D0E6E" w:rsidRDefault="006D0E6E" w:rsidP="00B20394">
      <w:pPr>
        <w:pStyle w:val="Ttulo1"/>
        <w:spacing w:line="276" w:lineRule="auto"/>
        <w:jc w:val="center"/>
        <w:rPr>
          <w:rFonts w:asciiTheme="majorHAnsi" w:eastAsiaTheme="minorEastAsia" w:hAnsiTheme="majorHAnsi"/>
          <w:b/>
          <w:bCs/>
        </w:rPr>
      </w:pPr>
    </w:p>
    <w:p w:rsidR="001D31A6" w:rsidRPr="001D31A6" w:rsidRDefault="001D31A6" w:rsidP="001D31A6">
      <w:pPr>
        <w:rPr>
          <w:lang w:eastAsia="pt-BR"/>
        </w:rPr>
      </w:pPr>
    </w:p>
    <w:p w:rsidR="00A970E8" w:rsidRPr="00A22F36" w:rsidRDefault="00A970E8" w:rsidP="00B20394">
      <w:pPr>
        <w:pStyle w:val="Ttulo1"/>
        <w:spacing w:line="276" w:lineRule="auto"/>
        <w:jc w:val="center"/>
        <w:rPr>
          <w:rFonts w:asciiTheme="majorHAnsi" w:eastAsiaTheme="minorEastAsia" w:hAnsiTheme="majorHAnsi"/>
          <w:b/>
          <w:bCs/>
          <w:u w:val="single"/>
        </w:rPr>
      </w:pPr>
      <w:r w:rsidRPr="00A22F36">
        <w:rPr>
          <w:rFonts w:asciiTheme="majorHAnsi" w:eastAsiaTheme="minorEastAsia" w:hAnsiTheme="majorHAnsi"/>
          <w:b/>
          <w:bCs/>
          <w:u w:val="single"/>
        </w:rPr>
        <w:lastRenderedPageBreak/>
        <w:t>JUSTIFICATIVA</w:t>
      </w:r>
    </w:p>
    <w:p w:rsidR="00B20394" w:rsidRPr="00B20394" w:rsidRDefault="00B20394" w:rsidP="00B20394">
      <w:pPr>
        <w:rPr>
          <w:lang w:eastAsia="pt-BR"/>
        </w:rPr>
      </w:pPr>
    </w:p>
    <w:p w:rsidR="00A970E8" w:rsidRPr="00B20394" w:rsidRDefault="00A970E8" w:rsidP="00C45AB7">
      <w:pPr>
        <w:pStyle w:val="Ttulo1"/>
        <w:spacing w:line="276" w:lineRule="auto"/>
        <w:ind w:firstLine="1276"/>
        <w:jc w:val="both"/>
        <w:rPr>
          <w:rFonts w:asciiTheme="majorHAnsi" w:eastAsiaTheme="minorEastAsia" w:hAnsiTheme="majorHAnsi"/>
        </w:rPr>
      </w:pPr>
      <w:r w:rsidRPr="00B20394">
        <w:rPr>
          <w:rFonts w:asciiTheme="majorHAnsi" w:eastAsiaTheme="minorEastAsia" w:hAnsiTheme="majorHAnsi"/>
        </w:rPr>
        <w:tab/>
        <w:t>A medida proposta tem fundamento nos atributos exigíveis do servidor público, em especial no que concerne à confiança que deve o mesmo inspirar àqueles que venham a valer-se de seu</w:t>
      </w:r>
      <w:r w:rsidR="00B20394" w:rsidRPr="00B20394">
        <w:rPr>
          <w:rFonts w:asciiTheme="majorHAnsi" w:eastAsiaTheme="minorEastAsia" w:hAnsiTheme="majorHAnsi"/>
        </w:rPr>
        <w:t xml:space="preserve"> </w:t>
      </w:r>
      <w:r w:rsidRPr="00B20394">
        <w:rPr>
          <w:rFonts w:asciiTheme="majorHAnsi" w:eastAsiaTheme="minorEastAsia" w:hAnsiTheme="majorHAnsi"/>
        </w:rPr>
        <w:t xml:space="preserve">exercício profissional. </w:t>
      </w:r>
    </w:p>
    <w:p w:rsidR="00A970E8" w:rsidRPr="00B20394" w:rsidRDefault="00A970E8" w:rsidP="00B20394">
      <w:pPr>
        <w:pStyle w:val="Ttulo1"/>
        <w:spacing w:line="276" w:lineRule="auto"/>
        <w:ind w:firstLine="1701"/>
        <w:jc w:val="both"/>
        <w:rPr>
          <w:rFonts w:asciiTheme="majorHAnsi" w:eastAsiaTheme="minorEastAsia" w:hAnsiTheme="majorHAnsi"/>
        </w:rPr>
      </w:pPr>
    </w:p>
    <w:p w:rsidR="00503783" w:rsidRPr="00B20394" w:rsidRDefault="00A970E8" w:rsidP="00C45AB7">
      <w:pPr>
        <w:pStyle w:val="Ttulo1"/>
        <w:spacing w:line="276" w:lineRule="auto"/>
        <w:ind w:firstLine="1418"/>
        <w:jc w:val="both"/>
        <w:rPr>
          <w:rFonts w:asciiTheme="majorHAnsi" w:eastAsiaTheme="minorEastAsia" w:hAnsiTheme="majorHAnsi"/>
          <w:color w:val="FF0000"/>
        </w:rPr>
      </w:pPr>
      <w:r w:rsidRPr="00B20394">
        <w:rPr>
          <w:rFonts w:asciiTheme="majorHAnsi" w:eastAsiaTheme="minorEastAsia" w:hAnsiTheme="majorHAnsi"/>
        </w:rPr>
        <w:t>Essa propositura visa precaver nossa sociedade, sobretudo crianças indefesas</w:t>
      </w:r>
      <w:r w:rsidR="006A6393" w:rsidRPr="00B20394">
        <w:rPr>
          <w:rFonts w:asciiTheme="majorHAnsi" w:eastAsiaTheme="minorEastAsia" w:hAnsiTheme="majorHAnsi"/>
        </w:rPr>
        <w:t>, mulheres</w:t>
      </w:r>
      <w:r w:rsidRPr="00B20394">
        <w:rPr>
          <w:rFonts w:asciiTheme="majorHAnsi" w:eastAsiaTheme="minorEastAsia" w:hAnsiTheme="majorHAnsi"/>
        </w:rPr>
        <w:t xml:space="preserve"> da possibilidade de recaída de tais pessoas, vez que especialistas afirmam que se tratam de doenças que só podem ser controladas, não curadas. </w:t>
      </w:r>
    </w:p>
    <w:p w:rsidR="00A970E8" w:rsidRPr="00B20394" w:rsidRDefault="00A970E8" w:rsidP="00C45AB7">
      <w:pPr>
        <w:pStyle w:val="Ttulo1"/>
        <w:spacing w:line="276" w:lineRule="auto"/>
        <w:ind w:firstLine="1418"/>
        <w:jc w:val="both"/>
        <w:rPr>
          <w:rFonts w:asciiTheme="majorHAnsi" w:eastAsiaTheme="minorEastAsia" w:hAnsiTheme="majorHAnsi"/>
        </w:rPr>
      </w:pPr>
      <w:r w:rsidRPr="00B20394">
        <w:rPr>
          <w:rFonts w:asciiTheme="majorHAnsi" w:eastAsiaTheme="minorEastAsia" w:hAnsiTheme="majorHAnsi"/>
        </w:rPr>
        <w:t xml:space="preserve">Em que pese a necessidade de ressocialização de </w:t>
      </w:r>
      <w:proofErr w:type="spellStart"/>
      <w:r w:rsidRPr="00B20394">
        <w:rPr>
          <w:rFonts w:asciiTheme="majorHAnsi" w:eastAsiaTheme="minorEastAsia" w:hAnsiTheme="majorHAnsi"/>
        </w:rPr>
        <w:t>ex-condenados</w:t>
      </w:r>
      <w:proofErr w:type="spellEnd"/>
      <w:r w:rsidRPr="00B20394">
        <w:rPr>
          <w:rFonts w:asciiTheme="majorHAnsi" w:eastAsiaTheme="minorEastAsia" w:hAnsiTheme="majorHAnsi"/>
        </w:rPr>
        <w:t xml:space="preserve"> e, não menos, a importância da reabilitação, constitui-se a pedofilia</w:t>
      </w:r>
      <w:r w:rsidR="004157F9" w:rsidRPr="00B20394">
        <w:rPr>
          <w:rFonts w:asciiTheme="majorHAnsi" w:eastAsiaTheme="minorEastAsia" w:hAnsiTheme="majorHAnsi"/>
        </w:rPr>
        <w:t>,</w:t>
      </w:r>
      <w:r w:rsidRPr="00B20394">
        <w:rPr>
          <w:rFonts w:asciiTheme="majorHAnsi" w:eastAsiaTheme="minorEastAsia" w:hAnsiTheme="majorHAnsi"/>
        </w:rPr>
        <w:t xml:space="preserve"> em desvio de comportamento com elevada probabilidade de reincidência. Portanto, trata-se a vedação ora pretendida de critério necessário a que sejam evitadas situações cuja gravidade seria inaceitável, mormente se facilitadas pela condição de servidor público do agen</w:t>
      </w:r>
      <w:r w:rsidR="00B20394" w:rsidRPr="00B20394">
        <w:rPr>
          <w:rFonts w:asciiTheme="majorHAnsi" w:eastAsiaTheme="minorEastAsia" w:hAnsiTheme="majorHAnsi"/>
        </w:rPr>
        <w:t>t</w:t>
      </w:r>
      <w:r w:rsidRPr="00B20394">
        <w:rPr>
          <w:rFonts w:asciiTheme="majorHAnsi" w:eastAsiaTheme="minorEastAsia" w:hAnsiTheme="majorHAnsi"/>
        </w:rPr>
        <w:t xml:space="preserve">e. </w:t>
      </w:r>
    </w:p>
    <w:p w:rsidR="00A970E8" w:rsidRPr="00B20394" w:rsidRDefault="00A970E8" w:rsidP="00B20394">
      <w:pPr>
        <w:pStyle w:val="Ttulo1"/>
        <w:spacing w:line="276" w:lineRule="auto"/>
        <w:ind w:firstLine="1701"/>
        <w:jc w:val="both"/>
        <w:rPr>
          <w:rFonts w:asciiTheme="majorHAnsi" w:eastAsiaTheme="minorEastAsia" w:hAnsiTheme="majorHAnsi"/>
        </w:rPr>
      </w:pPr>
    </w:p>
    <w:p w:rsidR="006A6393" w:rsidRPr="00B20394" w:rsidRDefault="006A6393" w:rsidP="00C45AB7">
      <w:pPr>
        <w:ind w:firstLine="1418"/>
        <w:jc w:val="both"/>
        <w:rPr>
          <w:rFonts w:asciiTheme="majorHAnsi" w:hAnsiTheme="majorHAnsi" w:cs="Arial"/>
          <w:sz w:val="24"/>
          <w:szCs w:val="24"/>
          <w:lang w:eastAsia="pt-BR"/>
        </w:rPr>
      </w:pPr>
      <w:r w:rsidRPr="00B20394">
        <w:rPr>
          <w:rFonts w:asciiTheme="majorHAnsi" w:hAnsiTheme="majorHAnsi" w:cs="Arial"/>
          <w:spacing w:val="2"/>
          <w:sz w:val="24"/>
          <w:szCs w:val="24"/>
          <w:shd w:val="clear" w:color="auto" w:fill="FFFFFF"/>
        </w:rPr>
        <w:t xml:space="preserve">No </w:t>
      </w:r>
      <w:r w:rsidR="001B1640" w:rsidRPr="00B20394">
        <w:rPr>
          <w:rFonts w:asciiTheme="majorHAnsi" w:hAnsiTheme="majorHAnsi" w:cs="Arial"/>
          <w:spacing w:val="2"/>
          <w:sz w:val="24"/>
          <w:szCs w:val="24"/>
          <w:shd w:val="clear" w:color="auto" w:fill="FFFFFF"/>
        </w:rPr>
        <w:t>Estado do Maranhão</w:t>
      </w:r>
      <w:r w:rsidRPr="00B20394">
        <w:rPr>
          <w:rFonts w:asciiTheme="majorHAnsi" w:hAnsiTheme="majorHAnsi" w:cs="Arial"/>
          <w:spacing w:val="2"/>
          <w:sz w:val="24"/>
          <w:szCs w:val="24"/>
          <w:shd w:val="clear" w:color="auto" w:fill="FFFFFF"/>
        </w:rPr>
        <w:t xml:space="preserve"> como no mundo, cresce o número da criminalidade na área digital, crimes esses que vêm se popularizando na medida em que a rede se expande e se torna de fácil acesso para todas as pessoas, inclusive crianças e adolescentes. Nesse sentido, nos últimos anos, o crime de “pedofilia” tem avançado junto com a internet. Os pedófilos aproveitam-se e criam perfis falsos em redes sociais, utilizam-se de linguagem de fácil entendimento para conseguirem a confiança das crianças e adolescentes.</w:t>
      </w:r>
    </w:p>
    <w:p w:rsidR="004157F9" w:rsidRPr="00B20394" w:rsidRDefault="00A970E8" w:rsidP="00C45AB7">
      <w:pPr>
        <w:pStyle w:val="Ttulo1"/>
        <w:spacing w:line="276" w:lineRule="auto"/>
        <w:ind w:firstLine="1418"/>
        <w:jc w:val="both"/>
        <w:rPr>
          <w:rFonts w:asciiTheme="majorHAnsi" w:eastAsiaTheme="minorEastAsia" w:hAnsiTheme="majorHAnsi"/>
        </w:rPr>
      </w:pPr>
      <w:r w:rsidRPr="00B20394">
        <w:rPr>
          <w:rFonts w:asciiTheme="majorHAnsi" w:eastAsiaTheme="minorEastAsia" w:hAnsiTheme="majorHAnsi"/>
        </w:rPr>
        <w:t>Vale citar que são comuns e aceitas, universalmente, restrições semelhantes relacionadas ao ingresso e permanência em algumas carreiras específicas,</w:t>
      </w:r>
      <w:r w:rsidR="003A2352" w:rsidRPr="00B20394">
        <w:rPr>
          <w:rFonts w:asciiTheme="majorHAnsi" w:eastAsiaTheme="minorEastAsia" w:hAnsiTheme="majorHAnsi"/>
        </w:rPr>
        <w:t xml:space="preserve"> tais como</w:t>
      </w:r>
      <w:r w:rsidRPr="00B20394">
        <w:rPr>
          <w:rFonts w:asciiTheme="majorHAnsi" w:eastAsiaTheme="minorEastAsia" w:hAnsiTheme="majorHAnsi"/>
        </w:rPr>
        <w:t xml:space="preserve"> a</w:t>
      </w:r>
      <w:r w:rsidR="003A2352" w:rsidRPr="00B20394">
        <w:rPr>
          <w:rFonts w:asciiTheme="majorHAnsi" w:eastAsiaTheme="minorEastAsia" w:hAnsiTheme="majorHAnsi"/>
        </w:rPr>
        <w:t xml:space="preserve"> </w:t>
      </w:r>
      <w:r w:rsidRPr="00B20394">
        <w:rPr>
          <w:rFonts w:asciiTheme="majorHAnsi" w:eastAsiaTheme="minorEastAsia" w:hAnsiTheme="majorHAnsi"/>
        </w:rPr>
        <w:t>Magistratura, do Ministério Público, das Polícias e Forças Armadas, dentre outras, onde fica evidente a exigibilidade de critérios rigorosos relacionados aos antecedentes dos candidatos</w:t>
      </w:r>
      <w:r w:rsidR="003A2352" w:rsidRPr="00B20394">
        <w:rPr>
          <w:rFonts w:asciiTheme="majorHAnsi" w:eastAsiaTheme="minorEastAsia" w:hAnsiTheme="majorHAnsi"/>
        </w:rPr>
        <w:t xml:space="preserve"> e perfil psicológico</w:t>
      </w:r>
      <w:r w:rsidRPr="00B20394">
        <w:rPr>
          <w:rFonts w:asciiTheme="majorHAnsi" w:eastAsiaTheme="minorEastAsia" w:hAnsiTheme="majorHAnsi"/>
        </w:rPr>
        <w:t xml:space="preserve">. </w:t>
      </w:r>
    </w:p>
    <w:p w:rsidR="004157F9" w:rsidRPr="00B20394" w:rsidRDefault="004157F9" w:rsidP="00C45AB7">
      <w:pPr>
        <w:pStyle w:val="Ttulo1"/>
        <w:spacing w:line="276" w:lineRule="auto"/>
        <w:ind w:firstLine="1418"/>
        <w:jc w:val="both"/>
        <w:rPr>
          <w:rFonts w:asciiTheme="majorHAnsi" w:eastAsiaTheme="minorEastAsia" w:hAnsiTheme="majorHAnsi"/>
        </w:rPr>
      </w:pPr>
    </w:p>
    <w:p w:rsidR="00B20394" w:rsidRPr="00B20394" w:rsidRDefault="003827BF" w:rsidP="00C45AB7">
      <w:pPr>
        <w:ind w:firstLine="1418"/>
        <w:jc w:val="both"/>
        <w:rPr>
          <w:rFonts w:asciiTheme="majorHAnsi" w:hAnsiTheme="majorHAnsi" w:cs="Arial"/>
          <w:sz w:val="24"/>
          <w:szCs w:val="24"/>
        </w:rPr>
      </w:pPr>
      <w:r w:rsidRPr="00B20394">
        <w:rPr>
          <w:rFonts w:asciiTheme="majorHAnsi" w:hAnsiTheme="majorHAnsi" w:cs="Arial"/>
          <w:sz w:val="24"/>
          <w:szCs w:val="24"/>
        </w:rPr>
        <w:t xml:space="preserve">Nestes termos, contamos com o apoio dos Excelentíssimos Parlamentares para a aprovação deste Projeto de Lei, </w:t>
      </w:r>
      <w:r w:rsidR="009E4647" w:rsidRPr="00B20394">
        <w:rPr>
          <w:rFonts w:asciiTheme="majorHAnsi" w:eastAsiaTheme="minorEastAsia" w:hAnsiTheme="majorHAnsi" w:cs="Arial"/>
          <w:sz w:val="24"/>
          <w:szCs w:val="24"/>
        </w:rPr>
        <w:t xml:space="preserve">visto que </w:t>
      </w:r>
      <w:r w:rsidR="009E4647" w:rsidRPr="00B20394">
        <w:rPr>
          <w:rFonts w:asciiTheme="majorHAnsi" w:hAnsiTheme="majorHAnsi" w:cs="Arial"/>
          <w:spacing w:val="-8"/>
          <w:sz w:val="24"/>
          <w:szCs w:val="24"/>
          <w:shd w:val="clear" w:color="auto" w:fill="FFFFFF"/>
        </w:rPr>
        <w:t xml:space="preserve">será uma ferramenta para ajudar a coibir a prática desses crimes </w:t>
      </w:r>
      <w:r w:rsidR="006A6393" w:rsidRPr="00B20394">
        <w:rPr>
          <w:rFonts w:asciiTheme="majorHAnsi" w:hAnsiTheme="majorHAnsi"/>
          <w:spacing w:val="-8"/>
          <w:sz w:val="24"/>
          <w:szCs w:val="24"/>
          <w:shd w:val="clear" w:color="auto" w:fill="FFFFFF"/>
        </w:rPr>
        <w:t xml:space="preserve">o </w:t>
      </w:r>
      <w:r w:rsidR="009E4647" w:rsidRPr="00B20394">
        <w:rPr>
          <w:rFonts w:asciiTheme="majorHAnsi" w:hAnsiTheme="majorHAnsi" w:cs="Arial"/>
          <w:spacing w:val="-8"/>
          <w:sz w:val="24"/>
          <w:szCs w:val="24"/>
          <w:shd w:val="clear" w:color="auto" w:fill="FFFFFF"/>
        </w:rPr>
        <w:t xml:space="preserve">que tem ocorrido em uma escalada crescente </w:t>
      </w:r>
      <w:r w:rsidR="009E4647" w:rsidRPr="00B20394">
        <w:rPr>
          <w:rFonts w:asciiTheme="majorHAnsi" w:hAnsiTheme="majorHAnsi" w:cs="Arial"/>
          <w:spacing w:val="-8"/>
          <w:sz w:val="24"/>
          <w:szCs w:val="24"/>
          <w:shd w:val="clear" w:color="auto" w:fill="FFFFFF"/>
        </w:rPr>
        <w:lastRenderedPageBreak/>
        <w:t>no nosso Estado</w:t>
      </w:r>
      <w:r w:rsidRPr="00B20394">
        <w:rPr>
          <w:rFonts w:asciiTheme="majorHAnsi" w:hAnsiTheme="majorHAnsi" w:cs="Arial"/>
          <w:sz w:val="24"/>
          <w:szCs w:val="24"/>
        </w:rPr>
        <w:t xml:space="preserve">. Assim sendo, submetemos à consideração do Plenário desta Casa Legislativa a presente proposição. </w:t>
      </w:r>
    </w:p>
    <w:p w:rsidR="003827BF" w:rsidRPr="00B20394" w:rsidRDefault="003827BF" w:rsidP="00B20394">
      <w:pPr>
        <w:ind w:firstLine="1701"/>
        <w:jc w:val="both"/>
        <w:rPr>
          <w:rFonts w:asciiTheme="majorHAnsi" w:hAnsiTheme="majorHAnsi" w:cs="Arial"/>
          <w:sz w:val="24"/>
          <w:szCs w:val="24"/>
        </w:rPr>
      </w:pPr>
      <w:r w:rsidRPr="00B20394">
        <w:rPr>
          <w:rFonts w:asciiTheme="majorHAnsi" w:hAnsiTheme="majorHAnsi" w:cs="Arial"/>
          <w:sz w:val="24"/>
          <w:szCs w:val="24"/>
        </w:rPr>
        <w:t xml:space="preserve">Plenário Deputado Nagib </w:t>
      </w:r>
      <w:proofErr w:type="spellStart"/>
      <w:r w:rsidRPr="00B20394">
        <w:rPr>
          <w:rFonts w:asciiTheme="majorHAnsi" w:hAnsiTheme="majorHAnsi" w:cs="Arial"/>
          <w:sz w:val="24"/>
          <w:szCs w:val="24"/>
        </w:rPr>
        <w:t>Haickel</w:t>
      </w:r>
      <w:proofErr w:type="spellEnd"/>
      <w:r w:rsidRPr="00B20394">
        <w:rPr>
          <w:rFonts w:asciiTheme="majorHAnsi" w:hAnsiTheme="majorHAnsi" w:cs="Arial"/>
          <w:sz w:val="24"/>
          <w:szCs w:val="24"/>
        </w:rPr>
        <w:t xml:space="preserve">, do Palácio “Manuel </w:t>
      </w:r>
      <w:proofErr w:type="spellStart"/>
      <w:r w:rsidRPr="00B20394">
        <w:rPr>
          <w:rFonts w:asciiTheme="majorHAnsi" w:hAnsiTheme="majorHAnsi" w:cs="Arial"/>
          <w:sz w:val="24"/>
          <w:szCs w:val="24"/>
        </w:rPr>
        <w:t>Beckman</w:t>
      </w:r>
      <w:proofErr w:type="spellEnd"/>
      <w:r w:rsidRPr="00B20394">
        <w:rPr>
          <w:rFonts w:asciiTheme="majorHAnsi" w:hAnsiTheme="majorHAnsi" w:cs="Arial"/>
          <w:sz w:val="24"/>
          <w:szCs w:val="24"/>
        </w:rPr>
        <w:t xml:space="preserve">”, em São Luís, </w:t>
      </w:r>
      <w:r w:rsidR="00BE3BBB" w:rsidRPr="00B20394">
        <w:rPr>
          <w:rFonts w:asciiTheme="majorHAnsi" w:hAnsiTheme="majorHAnsi" w:cs="Arial"/>
          <w:sz w:val="24"/>
          <w:szCs w:val="24"/>
        </w:rPr>
        <w:t>2</w:t>
      </w:r>
      <w:r w:rsidR="001D31A6">
        <w:rPr>
          <w:rFonts w:asciiTheme="majorHAnsi" w:hAnsiTheme="majorHAnsi" w:cs="Arial"/>
          <w:sz w:val="24"/>
          <w:szCs w:val="24"/>
        </w:rPr>
        <w:t>5</w:t>
      </w:r>
      <w:r w:rsidR="00F434B5" w:rsidRPr="00B20394">
        <w:rPr>
          <w:rFonts w:asciiTheme="majorHAnsi" w:hAnsiTheme="majorHAnsi" w:cs="Arial"/>
          <w:sz w:val="24"/>
          <w:szCs w:val="24"/>
        </w:rPr>
        <w:t xml:space="preserve"> </w:t>
      </w:r>
      <w:r w:rsidRPr="00B20394">
        <w:rPr>
          <w:rFonts w:asciiTheme="majorHAnsi" w:hAnsiTheme="majorHAnsi" w:cs="Arial"/>
          <w:sz w:val="24"/>
          <w:szCs w:val="24"/>
        </w:rPr>
        <w:t>de abril de 2019 – THAIZA HORTEGAL - Deputada Estadual.</w:t>
      </w:r>
    </w:p>
    <w:p w:rsidR="003827BF" w:rsidRPr="00B20394" w:rsidRDefault="003827BF" w:rsidP="00B20394">
      <w:pPr>
        <w:ind w:firstLine="1134"/>
        <w:jc w:val="both"/>
        <w:rPr>
          <w:rFonts w:asciiTheme="majorHAnsi" w:hAnsiTheme="majorHAnsi" w:cs="Arial"/>
          <w:sz w:val="24"/>
          <w:szCs w:val="24"/>
        </w:rPr>
      </w:pPr>
    </w:p>
    <w:p w:rsidR="00BE3BBB" w:rsidRPr="00B20394" w:rsidRDefault="00BE3BBB" w:rsidP="00B20394">
      <w:pPr>
        <w:ind w:firstLine="1134"/>
        <w:jc w:val="both"/>
        <w:rPr>
          <w:rFonts w:asciiTheme="majorHAnsi" w:hAnsiTheme="majorHAnsi" w:cs="Arial"/>
          <w:sz w:val="24"/>
          <w:szCs w:val="24"/>
        </w:rPr>
      </w:pPr>
    </w:p>
    <w:p w:rsidR="003827BF" w:rsidRPr="00B20394" w:rsidRDefault="003827BF" w:rsidP="00B20394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sz w:val="24"/>
          <w:szCs w:val="24"/>
        </w:rPr>
      </w:pPr>
      <w:r w:rsidRPr="00B20394">
        <w:rPr>
          <w:rFonts w:asciiTheme="majorHAnsi" w:eastAsiaTheme="minorHAnsi" w:hAnsiTheme="majorHAnsi" w:cs="Arial"/>
          <w:sz w:val="24"/>
          <w:szCs w:val="24"/>
        </w:rPr>
        <w:t xml:space="preserve">Dra. </w:t>
      </w:r>
      <w:proofErr w:type="spellStart"/>
      <w:r w:rsidRPr="00B20394">
        <w:rPr>
          <w:rFonts w:asciiTheme="majorHAnsi" w:eastAsiaTheme="minorHAnsi" w:hAnsiTheme="majorHAnsi" w:cs="Arial"/>
          <w:sz w:val="24"/>
          <w:szCs w:val="24"/>
        </w:rPr>
        <w:t>Thaíza</w:t>
      </w:r>
      <w:proofErr w:type="spellEnd"/>
      <w:r w:rsidRPr="00B20394">
        <w:rPr>
          <w:rFonts w:asciiTheme="majorHAnsi" w:eastAsiaTheme="minorHAnsi" w:hAnsiTheme="majorHAnsi" w:cs="Arial"/>
          <w:sz w:val="24"/>
          <w:szCs w:val="24"/>
        </w:rPr>
        <w:t xml:space="preserve"> </w:t>
      </w:r>
      <w:proofErr w:type="spellStart"/>
      <w:r w:rsidRPr="00B20394">
        <w:rPr>
          <w:rFonts w:asciiTheme="majorHAnsi" w:eastAsiaTheme="minorHAnsi" w:hAnsiTheme="majorHAnsi" w:cs="Arial"/>
          <w:sz w:val="24"/>
          <w:szCs w:val="24"/>
        </w:rPr>
        <w:t>Hortegal</w:t>
      </w:r>
      <w:proofErr w:type="spellEnd"/>
    </w:p>
    <w:p w:rsidR="003827BF" w:rsidRPr="00B20394" w:rsidRDefault="003827BF" w:rsidP="00B20394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sz w:val="24"/>
          <w:szCs w:val="24"/>
        </w:rPr>
      </w:pPr>
      <w:r w:rsidRPr="00B20394">
        <w:rPr>
          <w:rFonts w:asciiTheme="majorHAnsi" w:eastAsiaTheme="minorHAnsi" w:hAnsiTheme="majorHAnsi" w:cs="Arial"/>
          <w:sz w:val="24"/>
          <w:szCs w:val="24"/>
        </w:rPr>
        <w:t xml:space="preserve">Deputada Estadual </w:t>
      </w:r>
      <w:r w:rsidR="0044245C" w:rsidRPr="00B20394">
        <w:rPr>
          <w:rFonts w:asciiTheme="majorHAnsi" w:eastAsiaTheme="minorHAnsi" w:hAnsiTheme="majorHAnsi" w:cs="Arial"/>
          <w:sz w:val="24"/>
          <w:szCs w:val="24"/>
        </w:rPr>
        <w:t>–</w:t>
      </w:r>
      <w:r w:rsidRPr="00B20394">
        <w:rPr>
          <w:rFonts w:asciiTheme="majorHAnsi" w:eastAsiaTheme="minorHAnsi" w:hAnsiTheme="majorHAnsi" w:cs="Arial"/>
          <w:sz w:val="24"/>
          <w:szCs w:val="24"/>
        </w:rPr>
        <w:t xml:space="preserve"> PP</w:t>
      </w:r>
    </w:p>
    <w:sectPr w:rsidR="003827BF" w:rsidRPr="00B20394" w:rsidSect="001A12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F81" w:rsidRDefault="00B66F81">
      <w:pPr>
        <w:spacing w:after="0" w:line="240" w:lineRule="auto"/>
      </w:pPr>
      <w:r>
        <w:separator/>
      </w:r>
    </w:p>
  </w:endnote>
  <w:endnote w:type="continuationSeparator" w:id="0">
    <w:p w:rsidR="00B66F81" w:rsidRDefault="00B6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F81" w:rsidRDefault="00B66F81">
      <w:pPr>
        <w:spacing w:after="0" w:line="240" w:lineRule="auto"/>
      </w:pPr>
      <w:r>
        <w:separator/>
      </w:r>
    </w:p>
  </w:footnote>
  <w:footnote w:type="continuationSeparator" w:id="0">
    <w:p w:rsidR="00B66F81" w:rsidRDefault="00B6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956F2"/>
    <w:rsid w:val="000D305C"/>
    <w:rsid w:val="000D320D"/>
    <w:rsid w:val="000F0651"/>
    <w:rsid w:val="00107A86"/>
    <w:rsid w:val="0012759F"/>
    <w:rsid w:val="001626CC"/>
    <w:rsid w:val="001A12A3"/>
    <w:rsid w:val="001B1022"/>
    <w:rsid w:val="001B1640"/>
    <w:rsid w:val="001C630B"/>
    <w:rsid w:val="001D31A6"/>
    <w:rsid w:val="001F5427"/>
    <w:rsid w:val="00210087"/>
    <w:rsid w:val="00220535"/>
    <w:rsid w:val="00225798"/>
    <w:rsid w:val="00280FE7"/>
    <w:rsid w:val="0028691C"/>
    <w:rsid w:val="00295378"/>
    <w:rsid w:val="002A0634"/>
    <w:rsid w:val="002A1864"/>
    <w:rsid w:val="002A3842"/>
    <w:rsid w:val="002C5702"/>
    <w:rsid w:val="00311129"/>
    <w:rsid w:val="0032074B"/>
    <w:rsid w:val="00335A1A"/>
    <w:rsid w:val="00344E42"/>
    <w:rsid w:val="0035487D"/>
    <w:rsid w:val="003827BF"/>
    <w:rsid w:val="003A2352"/>
    <w:rsid w:val="00406C3E"/>
    <w:rsid w:val="00412428"/>
    <w:rsid w:val="00412EEC"/>
    <w:rsid w:val="004157F9"/>
    <w:rsid w:val="004306F3"/>
    <w:rsid w:val="0044245C"/>
    <w:rsid w:val="00486E50"/>
    <w:rsid w:val="004B1D89"/>
    <w:rsid w:val="004D7289"/>
    <w:rsid w:val="004E028F"/>
    <w:rsid w:val="004E1B39"/>
    <w:rsid w:val="004E4CED"/>
    <w:rsid w:val="004F2C7B"/>
    <w:rsid w:val="00500061"/>
    <w:rsid w:val="00503783"/>
    <w:rsid w:val="00533751"/>
    <w:rsid w:val="00560390"/>
    <w:rsid w:val="00563AF8"/>
    <w:rsid w:val="00597A27"/>
    <w:rsid w:val="005A12FC"/>
    <w:rsid w:val="005B023E"/>
    <w:rsid w:val="005C7DED"/>
    <w:rsid w:val="005E3A08"/>
    <w:rsid w:val="005F4154"/>
    <w:rsid w:val="0064035C"/>
    <w:rsid w:val="00670B04"/>
    <w:rsid w:val="006768B1"/>
    <w:rsid w:val="00691BD6"/>
    <w:rsid w:val="006A6393"/>
    <w:rsid w:val="006B69F4"/>
    <w:rsid w:val="006D0E6E"/>
    <w:rsid w:val="006F2823"/>
    <w:rsid w:val="00700147"/>
    <w:rsid w:val="00743F2D"/>
    <w:rsid w:val="00783A3D"/>
    <w:rsid w:val="007B143B"/>
    <w:rsid w:val="007D7437"/>
    <w:rsid w:val="007F5705"/>
    <w:rsid w:val="008039A3"/>
    <w:rsid w:val="008052C5"/>
    <w:rsid w:val="00835E29"/>
    <w:rsid w:val="00843729"/>
    <w:rsid w:val="00863C22"/>
    <w:rsid w:val="00894102"/>
    <w:rsid w:val="008A0584"/>
    <w:rsid w:val="008B6AF7"/>
    <w:rsid w:val="008D2866"/>
    <w:rsid w:val="008E4BA2"/>
    <w:rsid w:val="008E771B"/>
    <w:rsid w:val="009112D5"/>
    <w:rsid w:val="00916DAD"/>
    <w:rsid w:val="009249DE"/>
    <w:rsid w:val="00942860"/>
    <w:rsid w:val="00961DB4"/>
    <w:rsid w:val="00961FEC"/>
    <w:rsid w:val="00997CD2"/>
    <w:rsid w:val="009B315B"/>
    <w:rsid w:val="009C16B8"/>
    <w:rsid w:val="009C352F"/>
    <w:rsid w:val="009D5BAB"/>
    <w:rsid w:val="009E4647"/>
    <w:rsid w:val="009F567B"/>
    <w:rsid w:val="009F58A5"/>
    <w:rsid w:val="00A01F6B"/>
    <w:rsid w:val="00A02418"/>
    <w:rsid w:val="00A22F36"/>
    <w:rsid w:val="00A42F76"/>
    <w:rsid w:val="00A970E8"/>
    <w:rsid w:val="00AA21F1"/>
    <w:rsid w:val="00AA277B"/>
    <w:rsid w:val="00AB7D5B"/>
    <w:rsid w:val="00AD3AD4"/>
    <w:rsid w:val="00AF342F"/>
    <w:rsid w:val="00B20394"/>
    <w:rsid w:val="00B375AF"/>
    <w:rsid w:val="00B66F81"/>
    <w:rsid w:val="00B95ED7"/>
    <w:rsid w:val="00BB3A6F"/>
    <w:rsid w:val="00BC538B"/>
    <w:rsid w:val="00BE3BBB"/>
    <w:rsid w:val="00BF5BB3"/>
    <w:rsid w:val="00BF5EC7"/>
    <w:rsid w:val="00C007A9"/>
    <w:rsid w:val="00C45AB7"/>
    <w:rsid w:val="00C67879"/>
    <w:rsid w:val="00C77A3B"/>
    <w:rsid w:val="00C946EB"/>
    <w:rsid w:val="00CC2695"/>
    <w:rsid w:val="00D14576"/>
    <w:rsid w:val="00D179D7"/>
    <w:rsid w:val="00D251D1"/>
    <w:rsid w:val="00D31A3E"/>
    <w:rsid w:val="00D44EDF"/>
    <w:rsid w:val="00D61097"/>
    <w:rsid w:val="00D622DC"/>
    <w:rsid w:val="00D72911"/>
    <w:rsid w:val="00D7611B"/>
    <w:rsid w:val="00DA662F"/>
    <w:rsid w:val="00DD2F27"/>
    <w:rsid w:val="00DD4702"/>
    <w:rsid w:val="00DE4624"/>
    <w:rsid w:val="00DF3A5E"/>
    <w:rsid w:val="00E4386B"/>
    <w:rsid w:val="00EA2E75"/>
    <w:rsid w:val="00EC1916"/>
    <w:rsid w:val="00ED616E"/>
    <w:rsid w:val="00EE0117"/>
    <w:rsid w:val="00EE1FD1"/>
    <w:rsid w:val="00EE5D73"/>
    <w:rsid w:val="00EF1AFD"/>
    <w:rsid w:val="00F10FB6"/>
    <w:rsid w:val="00F41710"/>
    <w:rsid w:val="00F434B5"/>
    <w:rsid w:val="00F45054"/>
    <w:rsid w:val="00F6128D"/>
    <w:rsid w:val="00F67ED1"/>
    <w:rsid w:val="00F95461"/>
    <w:rsid w:val="00FA04F5"/>
    <w:rsid w:val="00FA3628"/>
    <w:rsid w:val="00FA74DE"/>
    <w:rsid w:val="00FD5A7B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D836"/>
  <w15:docId w15:val="{866F5CC7-B567-4F2D-A8FE-6F96C38B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A970E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A970E8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E430-E3E9-4019-9CD6-A25B8194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Luciane Almeida Marinho Rego</cp:lastModifiedBy>
  <cp:revision>23</cp:revision>
  <cp:lastPrinted>2019-04-30T12:19:00Z</cp:lastPrinted>
  <dcterms:created xsi:type="dcterms:W3CDTF">2019-04-10T13:46:00Z</dcterms:created>
  <dcterms:modified xsi:type="dcterms:W3CDTF">2019-04-30T12:29:00Z</dcterms:modified>
</cp:coreProperties>
</file>