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300" w:rsidRPr="00096AFE" w:rsidRDefault="00E20300" w:rsidP="009749E3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20300" w:rsidRPr="00096AFE" w:rsidRDefault="00E20300" w:rsidP="009749E3">
      <w:pPr>
        <w:spacing w:line="360" w:lineRule="auto"/>
        <w:ind w:firstLine="113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AFE">
        <w:rPr>
          <w:rFonts w:ascii="Arial" w:hAnsi="Arial" w:cs="Arial"/>
          <w:b/>
          <w:color w:val="000000" w:themeColor="text1"/>
          <w:sz w:val="24"/>
          <w:szCs w:val="24"/>
        </w:rPr>
        <w:t>PROJETO DE LEI N°             / 2019</w:t>
      </w:r>
    </w:p>
    <w:p w:rsidR="00E20300" w:rsidRPr="00096AFE" w:rsidRDefault="00E20300" w:rsidP="00096AFE">
      <w:pPr>
        <w:spacing w:line="360" w:lineRule="auto"/>
        <w:ind w:left="3402"/>
        <w:jc w:val="both"/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096AFE">
        <w:rPr>
          <w:rFonts w:ascii="Arial" w:hAnsi="Arial" w:cs="Arial"/>
          <w:i/>
          <w:color w:val="000000" w:themeColor="text1"/>
          <w:sz w:val="24"/>
          <w:szCs w:val="24"/>
        </w:rPr>
        <w:t>Institui, no Calendário Oficial de Eventos do Estado do Maranhão, o Dia Estadual</w:t>
      </w:r>
      <w:r w:rsidRPr="00096AFE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 de Conscientização, Prevenção e Combate à Dependência Tecnológica. </w:t>
      </w:r>
    </w:p>
    <w:p w:rsidR="00DA170B" w:rsidRPr="00096AFE" w:rsidRDefault="00DA170B" w:rsidP="009749E3">
      <w:pPr>
        <w:spacing w:line="360" w:lineRule="auto"/>
        <w:ind w:firstLine="1134"/>
        <w:jc w:val="both"/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</w:pPr>
    </w:p>
    <w:p w:rsidR="00E20300" w:rsidRPr="00096AFE" w:rsidRDefault="00E20300" w:rsidP="009749E3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AFE">
        <w:rPr>
          <w:rFonts w:ascii="Arial" w:hAnsi="Arial" w:cs="Arial"/>
          <w:color w:val="000000" w:themeColor="text1"/>
          <w:sz w:val="24"/>
          <w:szCs w:val="24"/>
        </w:rPr>
        <w:t xml:space="preserve">Art. 1º Fica instituído o Dia Estadual </w:t>
      </w:r>
      <w:r w:rsidRPr="00096AF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 Conscientização, Prevenção e Combate à Dependência Tecnológica</w:t>
      </w:r>
      <w:r w:rsidRPr="00096AFE">
        <w:rPr>
          <w:rFonts w:ascii="Arial" w:hAnsi="Arial" w:cs="Arial"/>
          <w:color w:val="000000" w:themeColor="text1"/>
          <w:sz w:val="24"/>
          <w:szCs w:val="24"/>
        </w:rPr>
        <w:t>, a ser comemorado</w:t>
      </w:r>
      <w:r w:rsidR="00DA170B" w:rsidRPr="00096AF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A170B" w:rsidRPr="00096AFE" w:rsidRDefault="00DA170B" w:rsidP="009749E3">
      <w:pPr>
        <w:spacing w:line="36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96AFE">
        <w:rPr>
          <w:rFonts w:ascii="Arial" w:hAnsi="Arial" w:cs="Arial"/>
          <w:color w:val="000000" w:themeColor="text1"/>
          <w:sz w:val="24"/>
          <w:szCs w:val="24"/>
        </w:rPr>
        <w:t>Art. 2º Para o cumprimento do disposto nesta Lei, as Secretarias da Saúde e da Educação poderão firmar parceria ou celebrar convênio para:</w:t>
      </w:r>
    </w:p>
    <w:p w:rsidR="00DA170B" w:rsidRPr="00096AFE" w:rsidRDefault="00DA170B" w:rsidP="009749E3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AFE">
        <w:rPr>
          <w:rFonts w:ascii="Arial" w:hAnsi="Arial" w:cs="Arial"/>
          <w:color w:val="000000" w:themeColor="text1"/>
          <w:sz w:val="24"/>
          <w:szCs w:val="24"/>
        </w:rPr>
        <w:t>I - </w:t>
      </w:r>
      <w:proofErr w:type="gramStart"/>
      <w:r w:rsidRPr="00096AFE">
        <w:rPr>
          <w:rFonts w:ascii="Arial" w:hAnsi="Arial" w:cs="Arial"/>
          <w:color w:val="000000" w:themeColor="text1"/>
          <w:sz w:val="24"/>
          <w:szCs w:val="24"/>
        </w:rPr>
        <w:t>estabelecer</w:t>
      </w:r>
      <w:proofErr w:type="gramEnd"/>
      <w:r w:rsidRPr="00096AFE">
        <w:rPr>
          <w:rFonts w:ascii="Arial" w:hAnsi="Arial" w:cs="Arial"/>
          <w:color w:val="000000" w:themeColor="text1"/>
          <w:sz w:val="24"/>
          <w:szCs w:val="24"/>
        </w:rPr>
        <w:t xml:space="preserve"> o período de realização da campanha;</w:t>
      </w:r>
    </w:p>
    <w:p w:rsidR="00DA170B" w:rsidRPr="00096AFE" w:rsidRDefault="00DA170B" w:rsidP="009749E3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AFE">
        <w:rPr>
          <w:rFonts w:ascii="Arial" w:hAnsi="Arial" w:cs="Arial"/>
          <w:color w:val="000000" w:themeColor="text1"/>
          <w:sz w:val="24"/>
          <w:szCs w:val="24"/>
        </w:rPr>
        <w:t>II - </w:t>
      </w:r>
      <w:proofErr w:type="gramStart"/>
      <w:r w:rsidRPr="00096AFE">
        <w:rPr>
          <w:rFonts w:ascii="Arial" w:hAnsi="Arial" w:cs="Arial"/>
          <w:color w:val="000000" w:themeColor="text1"/>
          <w:sz w:val="24"/>
          <w:szCs w:val="24"/>
        </w:rPr>
        <w:t>indicar</w:t>
      </w:r>
      <w:proofErr w:type="gramEnd"/>
      <w:r w:rsidRPr="00096AFE">
        <w:rPr>
          <w:rFonts w:ascii="Arial" w:hAnsi="Arial" w:cs="Arial"/>
          <w:color w:val="000000" w:themeColor="text1"/>
          <w:sz w:val="24"/>
          <w:szCs w:val="24"/>
        </w:rPr>
        <w:t xml:space="preserve"> a equipe multidisciplinar que executará, junto aos órgãos públicos estaduais, as ações educativas e informativas sobre a prevenção e conscientização da dependência tecnológica. </w:t>
      </w:r>
    </w:p>
    <w:p w:rsidR="00E20300" w:rsidRPr="00096AFE" w:rsidRDefault="00E20300" w:rsidP="009749E3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AFE">
        <w:rPr>
          <w:rFonts w:ascii="Arial" w:hAnsi="Arial" w:cs="Arial"/>
          <w:color w:val="000000" w:themeColor="text1"/>
          <w:sz w:val="24"/>
          <w:szCs w:val="24"/>
        </w:rPr>
        <w:t xml:space="preserve">Art. 3º </w:t>
      </w:r>
      <w:r w:rsidR="004D1416" w:rsidRPr="00096AFE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142BD4" w:rsidRPr="00096AFE">
        <w:rPr>
          <w:rFonts w:ascii="Arial" w:hAnsi="Arial" w:cs="Arial"/>
          <w:color w:val="000000" w:themeColor="text1"/>
          <w:sz w:val="24"/>
          <w:szCs w:val="24"/>
        </w:rPr>
        <w:t>Dia Estadual Dia Estadual</w:t>
      </w:r>
      <w:r w:rsidR="00142BD4" w:rsidRPr="00096AF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Conscientização, Prevenção e Combate à Dependência Tecnológica</w:t>
      </w:r>
      <w:r w:rsidR="00142BD4" w:rsidRPr="00096A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AFE">
        <w:rPr>
          <w:rFonts w:ascii="Arial" w:hAnsi="Arial" w:cs="Arial"/>
          <w:color w:val="000000" w:themeColor="text1"/>
          <w:sz w:val="24"/>
          <w:szCs w:val="24"/>
        </w:rPr>
        <w:t>não será considerado feriado civil.</w:t>
      </w:r>
    </w:p>
    <w:p w:rsidR="00E20300" w:rsidRPr="00096AFE" w:rsidRDefault="00E20300" w:rsidP="009749E3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AFE">
        <w:rPr>
          <w:rFonts w:ascii="Arial" w:hAnsi="Arial" w:cs="Arial"/>
          <w:color w:val="000000" w:themeColor="text1"/>
          <w:sz w:val="24"/>
          <w:szCs w:val="24"/>
        </w:rPr>
        <w:t xml:space="preserve"> Art. 4º Esta Lei entra em vigor na data de sua publicação.</w:t>
      </w:r>
    </w:p>
    <w:p w:rsidR="00E20300" w:rsidRPr="00096AFE" w:rsidRDefault="00E20300" w:rsidP="009749E3">
      <w:pPr>
        <w:spacing w:line="360" w:lineRule="auto"/>
        <w:ind w:firstLine="1134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E20300" w:rsidRPr="00096AFE" w:rsidRDefault="00E20300" w:rsidP="00691BA8">
      <w:pPr>
        <w:spacing w:line="360" w:lineRule="auto"/>
        <w:jc w:val="center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</w:p>
    <w:p w:rsidR="00E20300" w:rsidRPr="00096AFE" w:rsidRDefault="00E20300" w:rsidP="00963BF9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AFE">
        <w:rPr>
          <w:rFonts w:ascii="Arial" w:hAnsi="Arial" w:cs="Arial"/>
          <w:b/>
          <w:color w:val="000000" w:themeColor="text1"/>
          <w:sz w:val="24"/>
          <w:szCs w:val="24"/>
        </w:rPr>
        <w:t>THAÍZA HORTEGAL</w:t>
      </w:r>
    </w:p>
    <w:p w:rsidR="00060D72" w:rsidRPr="00096AFE" w:rsidRDefault="00E20300" w:rsidP="00963BF9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AFE">
        <w:rPr>
          <w:rFonts w:ascii="Arial" w:hAnsi="Arial" w:cs="Arial"/>
          <w:b/>
          <w:color w:val="000000" w:themeColor="text1"/>
          <w:sz w:val="24"/>
          <w:szCs w:val="24"/>
        </w:rPr>
        <w:t>Deputada Estadual</w:t>
      </w:r>
    </w:p>
    <w:p w:rsidR="009749E3" w:rsidRPr="00096AFE" w:rsidRDefault="009749E3" w:rsidP="009749E3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096AF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lastRenderedPageBreak/>
        <w:t>JUSTIFICATIVA</w:t>
      </w:r>
    </w:p>
    <w:p w:rsidR="00554EC8" w:rsidRPr="00096AFE" w:rsidRDefault="00554EC8" w:rsidP="00554EC8">
      <w:pPr>
        <w:spacing w:line="360" w:lineRule="auto"/>
        <w:ind w:firstLine="1134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096AF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Pesquisa realizada pela Universidade Maryland, dos Estados Unidos, revelou que a dependência em tecnologia é semelhante ao </w:t>
      </w:r>
      <w:bookmarkStart w:id="0" w:name="_GoBack"/>
      <w:r w:rsidRPr="00096AF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do uso de drogas. </w:t>
      </w:r>
      <w:bookmarkEnd w:id="0"/>
      <w:r w:rsidRPr="00096AF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Ao analisar 1.000 jovens de 17 a 23 anos concluiu-se que 79% deles apresentam desconforto, confusão mental, isolamento, e até coceira, quando submetidos à restrição de eletrônicos. Além disso, crescem os casos de </w:t>
      </w:r>
      <w:proofErr w:type="spellStart"/>
      <w:r w:rsidRPr="00096AF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nomofobia</w:t>
      </w:r>
      <w:proofErr w:type="spellEnd"/>
      <w:r w:rsidRPr="00096AF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- desconforto e angústia causados pela incapacidade de comunicação por meio de aparelhos celulares e computadores.</w:t>
      </w:r>
    </w:p>
    <w:p w:rsidR="009749E3" w:rsidRPr="00096AFE" w:rsidRDefault="009749E3" w:rsidP="009749E3">
      <w:pPr>
        <w:spacing w:line="36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96AF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impacto das novas tecnologias no cotidiano dos indivíduos tem provocado inúmeras transformações, promovendo, inquestionavelmente, desenvolvimento pessoal, profissional e social. Aos aspectos positivos, entretanto, somam-se aspectos negativos que têm provocado perdas consideráveis para muitas pessoas.</w:t>
      </w:r>
    </w:p>
    <w:p w:rsidR="000E7610" w:rsidRPr="00096AFE" w:rsidRDefault="009749E3" w:rsidP="009749E3">
      <w:pPr>
        <w:spacing w:line="36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96AF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nova dinâmica social evidencia o rápido e crescente desenvolvimento e a utilização cada vez mais intensa das novas tecnologias e a interferência marcadamente pronunciada ocasionando problemas. </w:t>
      </w:r>
    </w:p>
    <w:p w:rsidR="009749E3" w:rsidRPr="00096AFE" w:rsidRDefault="009749E3" w:rsidP="009749E3">
      <w:pPr>
        <w:spacing w:line="36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96AF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influência marcante e intensa tem provocado problemas de natureza clínica, cognitivo-comportamental, social e ambiental, causando dependência para alguns, quadro conhecido como </w:t>
      </w:r>
      <w:proofErr w:type="spellStart"/>
      <w:r w:rsidRPr="00096AF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nomofobia</w:t>
      </w:r>
      <w:proofErr w:type="spellEnd"/>
      <w:r w:rsidRPr="00096AF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Esta pode ser definida como desconforto ou a angústia, causado pela impossibilidade de comunicação por meios virtuais, aparelhos de telefone celular, computadores, tablets e outros aparelhos similares, utilizados na comunicação. Ou seja, transtorno de ansiedade.</w:t>
      </w:r>
    </w:p>
    <w:p w:rsidR="009749E3" w:rsidRPr="00096AFE" w:rsidRDefault="009749E3" w:rsidP="009749E3">
      <w:pPr>
        <w:spacing w:line="36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96AF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De acordo com dados, o Brasil hoje, está em segundo lugar no ranking dos países com mais presença nas redes sociais digitais, se destacando pelo número de usuários nos mais diversos serviços – ficando </w:t>
      </w:r>
      <w:proofErr w:type="gramStart"/>
      <w:r w:rsidRPr="00096AF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pra</w:t>
      </w:r>
      <w:proofErr w:type="gramEnd"/>
      <w:r w:rsidRPr="00096AF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trás, na maioria das vezes, apenas da Índia e dos Estados Unidos. </w:t>
      </w:r>
    </w:p>
    <w:p w:rsidR="009749E3" w:rsidRPr="00096AFE" w:rsidRDefault="00963BF9" w:rsidP="00554EC8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AF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A dependência tecnológica, que inclui o uso problemático da internet, dos jogos de vídeo game e de outros meios eletrônicos, além do telefone celular, vem configurando um problema cada vez mais comum na sociedade moderna.</w:t>
      </w:r>
      <w:r w:rsidRPr="00096AF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</w:t>
      </w:r>
    </w:p>
    <w:sectPr w:rsidR="009749E3" w:rsidRPr="00096AFE" w:rsidSect="00096AFE">
      <w:headerReference w:type="default" r:id="rId6"/>
      <w:footerReference w:type="default" r:id="rId7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710DA">
      <w:pPr>
        <w:spacing w:after="0" w:line="240" w:lineRule="auto"/>
      </w:pPr>
      <w:r>
        <w:separator/>
      </w:r>
    </w:p>
  </w:endnote>
  <w:endnote w:type="continuationSeparator" w:id="0">
    <w:p w:rsidR="00000000" w:rsidRDefault="00C7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EB" w:rsidRPr="00F22FDB" w:rsidRDefault="004D1416" w:rsidP="00C946EB">
    <w:pPr>
      <w:pStyle w:val="Rodap"/>
      <w:jc w:val="center"/>
      <w:rPr>
        <w:rFonts w:ascii="Times New Roman" w:hAnsi="Times New Roman"/>
        <w:b/>
        <w:color w:val="44546A" w:themeColor="text2"/>
      </w:rPr>
    </w:pPr>
    <w:r w:rsidRPr="00F22FDB">
      <w:rPr>
        <w:rFonts w:ascii="Times New Roman" w:hAnsi="Times New Roman"/>
        <w:b/>
        <w:color w:val="44546A" w:themeColor="text2"/>
      </w:rPr>
      <w:t xml:space="preserve">Palácio Manuel </w:t>
    </w:r>
    <w:proofErr w:type="spellStart"/>
    <w:r w:rsidRPr="00F22FDB">
      <w:rPr>
        <w:rFonts w:ascii="Times New Roman" w:hAnsi="Times New Roman"/>
        <w:b/>
        <w:color w:val="44546A" w:themeColor="text2"/>
      </w:rPr>
      <w:t>Beckman</w:t>
    </w:r>
    <w:proofErr w:type="spellEnd"/>
  </w:p>
  <w:p w:rsidR="00C946EB" w:rsidRPr="00F22FDB" w:rsidRDefault="004D1416" w:rsidP="00C946EB">
    <w:pPr>
      <w:pStyle w:val="Rodap"/>
      <w:jc w:val="center"/>
      <w:rPr>
        <w:rFonts w:ascii="Times New Roman" w:hAnsi="Times New Roman"/>
        <w:color w:val="44546A" w:themeColor="text2"/>
      </w:rPr>
    </w:pPr>
    <w:r w:rsidRPr="00F22FDB">
      <w:rPr>
        <w:rFonts w:ascii="Times New Roman" w:hAnsi="Times New Roman"/>
        <w:color w:val="44546A" w:themeColor="text2"/>
      </w:rPr>
      <w:t>Av. Jerônimo de Albuquerque, s/n, Sí</w:t>
    </w:r>
    <w:r>
      <w:rPr>
        <w:rFonts w:ascii="Times New Roman" w:hAnsi="Times New Roman"/>
        <w:color w:val="44546A" w:themeColor="text2"/>
      </w:rPr>
      <w:t xml:space="preserve">tio Rangedor - </w:t>
    </w:r>
    <w:proofErr w:type="spellStart"/>
    <w:r>
      <w:rPr>
        <w:rFonts w:ascii="Times New Roman" w:hAnsi="Times New Roman"/>
        <w:color w:val="44546A" w:themeColor="text2"/>
      </w:rPr>
      <w:t>Cohafuma</w:t>
    </w:r>
    <w:proofErr w:type="spellEnd"/>
    <w:r>
      <w:rPr>
        <w:rFonts w:ascii="Times New Roman" w:hAnsi="Times New Roman"/>
        <w:color w:val="44546A" w:themeColor="text2"/>
      </w:rPr>
      <w:t xml:space="preserve">, São </w:t>
    </w:r>
    <w:proofErr w:type="spellStart"/>
    <w:r>
      <w:rPr>
        <w:rFonts w:ascii="Times New Roman" w:hAnsi="Times New Roman"/>
        <w:color w:val="44546A" w:themeColor="text2"/>
      </w:rPr>
      <w:t>Luí</w:t>
    </w:r>
    <w:r w:rsidRPr="00F22FDB">
      <w:rPr>
        <w:rFonts w:ascii="Times New Roman" w:hAnsi="Times New Roman"/>
        <w:color w:val="44546A" w:themeColor="text2"/>
      </w:rPr>
      <w:t>s</w:t>
    </w:r>
    <w:r>
      <w:rPr>
        <w:rFonts w:ascii="Times New Roman" w:hAnsi="Times New Roman"/>
        <w:color w:val="44546A" w:themeColor="text2"/>
      </w:rPr>
      <w:t>-</w:t>
    </w:r>
    <w:r w:rsidRPr="00F22FDB">
      <w:rPr>
        <w:rFonts w:ascii="Times New Roman" w:hAnsi="Times New Roman"/>
        <w:color w:val="44546A" w:themeColor="text2"/>
      </w:rPr>
      <w:t>MA</w:t>
    </w:r>
    <w:proofErr w:type="spellEnd"/>
    <w:r w:rsidRPr="00F22FDB">
      <w:rPr>
        <w:rFonts w:ascii="Times New Roman" w:hAnsi="Times New Roman"/>
        <w:color w:val="44546A" w:themeColor="text2"/>
      </w:rPr>
      <w:t>, CEP 65.071-750</w:t>
    </w:r>
  </w:p>
  <w:p w:rsidR="00C946EB" w:rsidRPr="00F22FDB" w:rsidRDefault="004D1416" w:rsidP="00C946EB">
    <w:pPr>
      <w:pStyle w:val="Rodap"/>
      <w:jc w:val="center"/>
      <w:rPr>
        <w:rFonts w:ascii="Times New Roman" w:hAnsi="Times New Roman"/>
        <w:color w:val="44546A" w:themeColor="text2"/>
      </w:rPr>
    </w:pPr>
    <w:r w:rsidRPr="00F22FDB">
      <w:rPr>
        <w:rFonts w:ascii="Times New Roman" w:hAnsi="Times New Roman"/>
        <w:color w:val="44546A" w:themeColor="text2"/>
      </w:rPr>
      <w:t>Fone: 098 3269-32</w:t>
    </w:r>
    <w:r>
      <w:rPr>
        <w:rFonts w:ascii="Times New Roman" w:hAnsi="Times New Roman"/>
        <w:color w:val="44546A" w:themeColor="text2"/>
      </w:rPr>
      <w:t>20</w:t>
    </w:r>
    <w:r w:rsidRPr="00F22FDB">
      <w:rPr>
        <w:rFonts w:ascii="Times New Roman" w:hAnsi="Times New Roman"/>
        <w:color w:val="44546A" w:themeColor="text2"/>
      </w:rPr>
      <w:t xml:space="preserve"> </w:t>
    </w:r>
  </w:p>
  <w:p w:rsidR="00C946EB" w:rsidRDefault="00C710DA" w:rsidP="00C946EB">
    <w:pPr>
      <w:pStyle w:val="Rodap"/>
    </w:pPr>
  </w:p>
  <w:p w:rsidR="00C946EB" w:rsidRDefault="00C710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710DA">
      <w:pPr>
        <w:spacing w:after="0" w:line="240" w:lineRule="auto"/>
      </w:pPr>
      <w:r>
        <w:separator/>
      </w:r>
    </w:p>
  </w:footnote>
  <w:footnote w:type="continuationSeparator" w:id="0">
    <w:p w:rsidR="00000000" w:rsidRDefault="00C71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EB" w:rsidRDefault="004D1416" w:rsidP="00C946EB">
    <w:pPr>
      <w:pStyle w:val="Cabealho"/>
      <w:tabs>
        <w:tab w:val="left" w:pos="3090"/>
      </w:tabs>
      <w:jc w:val="center"/>
      <w:rPr>
        <w:rFonts w:ascii="Times New Roman" w:hAnsi="Times New Roman"/>
        <w:sz w:val="24"/>
        <w:szCs w:val="24"/>
      </w:rPr>
    </w:pPr>
    <w:r w:rsidRPr="00D901FC">
      <w:rPr>
        <w:noProof/>
        <w:lang w:eastAsia="pt-BR"/>
      </w:rPr>
      <w:drawing>
        <wp:inline distT="0" distB="0" distL="0" distR="0" wp14:anchorId="17BEBFD5" wp14:editId="0BD21E55">
          <wp:extent cx="981075" cy="952500"/>
          <wp:effectExtent l="19050" t="0" r="9525" b="0"/>
          <wp:docPr id="8" name="Imagem 8" descr="http://t2.gstatic.com/images?q=tbn:ANd9GcQoC79zRCAFC2TiEbzldArF0KHh5yFf_L7rFjjJygNrVF2rqEcPTtF1wX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t2.gstatic.com/images?q=tbn:ANd9GcQoC79zRCAFC2TiEbzldArF0KHh5yFf_L7rFjjJygNrVF2rqEcPTtF1wX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46EB" w:rsidRPr="00A452AD" w:rsidRDefault="004D1416" w:rsidP="00C946EB">
    <w:pPr>
      <w:spacing w:after="0" w:line="240" w:lineRule="auto"/>
      <w:jc w:val="center"/>
      <w:rPr>
        <w:color w:val="44546A" w:themeColor="text2"/>
        <w:sz w:val="24"/>
      </w:rPr>
    </w:pPr>
    <w:r w:rsidRPr="00A452AD">
      <w:rPr>
        <w:color w:val="44546A" w:themeColor="text2"/>
        <w:sz w:val="24"/>
      </w:rPr>
      <w:t>ESTADO DO MARANHÃO</w:t>
    </w:r>
  </w:p>
  <w:p w:rsidR="00C946EB" w:rsidRPr="00A452AD" w:rsidRDefault="004D1416" w:rsidP="00C946EB">
    <w:pPr>
      <w:spacing w:after="0" w:line="240" w:lineRule="auto"/>
      <w:jc w:val="center"/>
      <w:rPr>
        <w:b/>
        <w:color w:val="44546A" w:themeColor="text2"/>
        <w:sz w:val="24"/>
      </w:rPr>
    </w:pPr>
    <w:r w:rsidRPr="00A452AD">
      <w:rPr>
        <w:b/>
        <w:color w:val="44546A" w:themeColor="text2"/>
        <w:sz w:val="24"/>
      </w:rPr>
      <w:t>Assembleia do Maranhão</w:t>
    </w:r>
  </w:p>
  <w:p w:rsidR="00C946EB" w:rsidRPr="00A452AD" w:rsidRDefault="004D1416" w:rsidP="00C946EB">
    <w:pPr>
      <w:spacing w:after="0" w:line="240" w:lineRule="auto"/>
      <w:jc w:val="center"/>
      <w:rPr>
        <w:b/>
        <w:color w:val="44546A" w:themeColor="text2"/>
        <w:sz w:val="24"/>
      </w:rPr>
    </w:pPr>
    <w:r w:rsidRPr="00A452AD">
      <w:rPr>
        <w:b/>
        <w:color w:val="44546A" w:themeColor="text2"/>
        <w:sz w:val="24"/>
      </w:rPr>
      <w:t>GABINETE D</w:t>
    </w:r>
    <w:r>
      <w:rPr>
        <w:b/>
        <w:color w:val="44546A" w:themeColor="text2"/>
        <w:sz w:val="24"/>
      </w:rPr>
      <w:t>A DEPUTADA THAIZA HORTEGAL - PP</w:t>
    </w:r>
  </w:p>
  <w:p w:rsidR="00C946EB" w:rsidRDefault="00C710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00"/>
    <w:rsid w:val="00060D72"/>
    <w:rsid w:val="00096AFE"/>
    <w:rsid w:val="000E7610"/>
    <w:rsid w:val="00142BD4"/>
    <w:rsid w:val="003C7A2D"/>
    <w:rsid w:val="003F0CEB"/>
    <w:rsid w:val="004D1416"/>
    <w:rsid w:val="00554EC8"/>
    <w:rsid w:val="005C70C4"/>
    <w:rsid w:val="00601EEF"/>
    <w:rsid w:val="00691BA8"/>
    <w:rsid w:val="007513A1"/>
    <w:rsid w:val="00843C2E"/>
    <w:rsid w:val="00963BF9"/>
    <w:rsid w:val="009749E3"/>
    <w:rsid w:val="00AD7A9E"/>
    <w:rsid w:val="00C710DA"/>
    <w:rsid w:val="00DA170B"/>
    <w:rsid w:val="00E2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EF3B"/>
  <w15:chartTrackingRefBased/>
  <w15:docId w15:val="{2090FE68-8573-4B16-A804-396ED270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3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030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20300"/>
  </w:style>
  <w:style w:type="paragraph" w:styleId="Rodap">
    <w:name w:val="footer"/>
    <w:basedOn w:val="Normal"/>
    <w:link w:val="RodapChar"/>
    <w:uiPriority w:val="99"/>
    <w:unhideWhenUsed/>
    <w:rsid w:val="00E2030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20300"/>
  </w:style>
  <w:style w:type="paragraph" w:styleId="Corpodetexto">
    <w:name w:val="Body Text"/>
    <w:basedOn w:val="Normal"/>
    <w:link w:val="CorpodetextoChar"/>
    <w:uiPriority w:val="99"/>
    <w:semiHidden/>
    <w:unhideWhenUsed/>
    <w:rsid w:val="00E20300"/>
    <w:pPr>
      <w:spacing w:after="120" w:line="240" w:lineRule="auto"/>
    </w:pPr>
    <w:rPr>
      <w:rFonts w:ascii="Arial (W1)" w:eastAsia="Times New Roman" w:hAnsi="Arial (W1)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20300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A1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3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C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br/imgres?imgurl=http://www.lidora.info/fusaoracial/brasao_maranhao.gif&amp;imgrefurl=http://www.lidora.info/fusaoracial/brasao_maranhao.htm&amp;usg=__cu0ilqi-7a7NDEwJ9mmartJJ99M=&amp;h=187&amp;w=193&amp;sz=21&amp;hl=pt-BR&amp;start=5&amp;zoom=1&amp;um=1&amp;itbs=1&amp;tbnid=BcXWxYi9DxBVrM:&amp;tbnh=100&amp;tbnw=103&amp;prev=/images?q=bras%C3%A3o+maranh%C3%A3o&amp;um=1&amp;hl=pt-BR&amp;sa=X&amp;rlz=1T4ADFA_pt-BRBR364BR365&amp;tbs=isch:1&amp;ei=c85KTbPAEcP78Aas0-mdD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Almeida Marinho Rego</dc:creator>
  <cp:keywords/>
  <dc:description/>
  <cp:lastModifiedBy>Luciane Almeida Marinho Rego</cp:lastModifiedBy>
  <cp:revision>7</cp:revision>
  <cp:lastPrinted>2019-10-21T20:16:00Z</cp:lastPrinted>
  <dcterms:created xsi:type="dcterms:W3CDTF">2019-10-21T13:45:00Z</dcterms:created>
  <dcterms:modified xsi:type="dcterms:W3CDTF">2019-10-21T20:50:00Z</dcterms:modified>
</cp:coreProperties>
</file>