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DF627F">
        <w:rPr>
          <w:rFonts w:ascii="Arial Narrow" w:hAnsi="Arial Narrow"/>
          <w:sz w:val="24"/>
          <w:szCs w:val="24"/>
        </w:rPr>
        <w:t xml:space="preserve">, bem como ao </w:t>
      </w:r>
      <w:r w:rsidR="0066138A">
        <w:rPr>
          <w:rFonts w:ascii="Arial Narrow" w:hAnsi="Arial Narrow"/>
          <w:sz w:val="24"/>
          <w:szCs w:val="24"/>
        </w:rPr>
        <w:t>Secretário de Cultura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Anderson </w:t>
      </w:r>
      <w:proofErr w:type="spellStart"/>
      <w:r w:rsidR="0066138A">
        <w:rPr>
          <w:rFonts w:ascii="Arial Narrow" w:hAnsi="Arial Narrow"/>
          <w:sz w:val="24"/>
          <w:szCs w:val="24"/>
        </w:rPr>
        <w:t>Lindoso</w:t>
      </w:r>
      <w:proofErr w:type="spellEnd"/>
      <w:r w:rsidR="0066138A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construção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um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Centro Cultural e Artístico Permanente na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66138A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Pr="0066138A" w:rsidRDefault="0066138A" w:rsidP="009476BF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Maranhão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é um </w:t>
      </w:r>
      <w:r w:rsidR="009476BF"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com uma grande diversidade de pessoas, de raças, cores, hábitos, costumes e principalmente culturas diversificadas, pois em nosso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se concentra povos de todos os lugares do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Brasil e do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mundo.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A cultura não é somente uma herança que se herda de família, mais também uma herança herdada da sociedade.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A cultura tem um </w:t>
      </w:r>
      <w:bookmarkStart w:id="0" w:name="_GoBack"/>
      <w:bookmarkEnd w:id="0"/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papel importante para a população e para a cidade que investe neste bem tão precioso.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Por isso que não pode ser esquecida. E tal importância merece ser reconhecida.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15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476B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64E5D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809750" cy="1857375"/>
            <wp:effectExtent l="0" t="0" r="0" b="95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C2D" w:rsidRDefault="00A62C2D" w:rsidP="009476BF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476BF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F815E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2020-01-15T20:02:00Z</dcterms:created>
  <dcterms:modified xsi:type="dcterms:W3CDTF">2020-01-21T12:15:00Z</dcterms:modified>
</cp:coreProperties>
</file>