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C" w:rsidRPr="000564AD" w:rsidRDefault="0046545C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</w:rPr>
      </w:pPr>
      <w:r w:rsidRPr="000564AD">
        <w:rPr>
          <w:rFonts w:ascii="Times New Roman" w:hAnsi="Times New Roman"/>
        </w:rPr>
        <w:t xml:space="preserve">PROJETO DE LEI Nº ____ DE </w:t>
      </w:r>
      <w:r w:rsidR="00E76BBD">
        <w:rPr>
          <w:rFonts w:ascii="Times New Roman" w:hAnsi="Times New Roman"/>
        </w:rPr>
        <w:t>2020</w:t>
      </w:r>
    </w:p>
    <w:p w:rsidR="0046545C" w:rsidRDefault="0046545C" w:rsidP="0046545C">
      <w:pPr>
        <w:pStyle w:val="Ementa"/>
        <w:ind w:left="0"/>
      </w:pPr>
    </w:p>
    <w:p w:rsidR="0046545C" w:rsidRDefault="00B840BA" w:rsidP="00B840BA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>DISPÕE SOBRE A</w:t>
      </w:r>
      <w:r>
        <w:rPr>
          <w:rFonts w:ascii="Times New Roman" w:hAnsi="Times New Roman" w:cs="Times New Roman"/>
          <w:b/>
          <w:sz w:val="24"/>
          <w:szCs w:val="24"/>
        </w:rPr>
        <w:t xml:space="preserve">S DIRETRIZES </w:t>
      </w:r>
      <w:r w:rsidR="00BB5FC1">
        <w:rPr>
          <w:rFonts w:ascii="Times New Roman" w:hAnsi="Times New Roman" w:cs="Times New Roman"/>
          <w:b/>
          <w:sz w:val="24"/>
          <w:szCs w:val="24"/>
        </w:rPr>
        <w:t>P</w:t>
      </w:r>
      <w:r w:rsidRPr="00B840BA">
        <w:rPr>
          <w:rFonts w:ascii="Times New Roman" w:hAnsi="Times New Roman" w:cs="Times New Roman"/>
          <w:b/>
          <w:sz w:val="24"/>
          <w:szCs w:val="24"/>
        </w:rPr>
        <w:t>ARA O ENFRENTAMENTO DO ESTADO DE CALAMIDADE PÚBLICA</w:t>
      </w:r>
      <w:r>
        <w:rPr>
          <w:rFonts w:ascii="Times New Roman" w:hAnsi="Times New Roman" w:cs="Times New Roman"/>
          <w:b/>
          <w:sz w:val="24"/>
          <w:szCs w:val="24"/>
        </w:rPr>
        <w:t xml:space="preserve"> DECORRENTE DA PANDEMIA DA COVID-19/CORONAVÍRUS, NO ÂMBITO DO ESTADO DO MARANHÃO. </w:t>
      </w:r>
    </w:p>
    <w:p w:rsidR="00B840BA" w:rsidRPr="006F3A37" w:rsidRDefault="00B840BA" w:rsidP="0046545C">
      <w:pPr>
        <w:pStyle w:val="Ementa"/>
      </w:pPr>
    </w:p>
    <w:p w:rsidR="00B840BA" w:rsidRPr="00B840BA" w:rsidRDefault="00007945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11C3">
        <w:rPr>
          <w:rFonts w:ascii="Times New Roman" w:hAnsi="Times New Roman" w:cs="Times New Roman"/>
          <w:b/>
          <w:sz w:val="24"/>
          <w:szCs w:val="24"/>
        </w:rPr>
        <w:t>Art. 1º</w:t>
      </w:r>
      <w:r w:rsidR="002E638F">
        <w:rPr>
          <w:rFonts w:ascii="Times New Roman" w:hAnsi="Times New Roman" w:cs="Times New Roman"/>
          <w:sz w:val="24"/>
          <w:szCs w:val="24"/>
        </w:rPr>
        <w:t xml:space="preserve"> -</w:t>
      </w:r>
      <w:r w:rsidR="00E76BBD">
        <w:rPr>
          <w:rFonts w:ascii="Times New Roman" w:hAnsi="Times New Roman" w:cs="Times New Roman"/>
          <w:sz w:val="24"/>
          <w:szCs w:val="24"/>
        </w:rPr>
        <w:t xml:space="preserve"> </w:t>
      </w:r>
      <w:r w:rsidR="00B840BA" w:rsidRPr="00B840BA">
        <w:rPr>
          <w:rFonts w:ascii="Times New Roman" w:hAnsi="Times New Roman" w:cs="Times New Roman"/>
          <w:sz w:val="24"/>
          <w:szCs w:val="24"/>
        </w:rPr>
        <w:t>Esta lei dispõe sobre</w:t>
      </w:r>
      <w:r w:rsidR="00B840BA">
        <w:rPr>
          <w:rFonts w:ascii="Times New Roman" w:hAnsi="Times New Roman" w:cs="Times New Roman"/>
          <w:sz w:val="24"/>
          <w:szCs w:val="24"/>
        </w:rPr>
        <w:t xml:space="preserve"> as diretrizes a serem observadas pelo Poder Público para o enfrentamento</w:t>
      </w:r>
      <w:r w:rsidR="00B840BA" w:rsidRPr="00B840BA">
        <w:rPr>
          <w:rFonts w:ascii="Times New Roman" w:hAnsi="Times New Roman" w:cs="Times New Roman"/>
          <w:sz w:val="24"/>
          <w:szCs w:val="24"/>
        </w:rPr>
        <w:t xml:space="preserve"> do estado de calamidade pública</w:t>
      </w:r>
      <w:r w:rsidR="00B840BA">
        <w:rPr>
          <w:rFonts w:ascii="Times New Roman" w:hAnsi="Times New Roman" w:cs="Times New Roman"/>
          <w:sz w:val="24"/>
          <w:szCs w:val="24"/>
        </w:rPr>
        <w:t xml:space="preserve"> decorrente da pandemia da COVID-19, no âmbito do Estado do Maranhão</w:t>
      </w:r>
      <w:r w:rsidR="00B840BA" w:rsidRPr="00B840BA">
        <w:rPr>
          <w:rFonts w:ascii="Times New Roman" w:hAnsi="Times New Roman" w:cs="Times New Roman"/>
          <w:sz w:val="24"/>
          <w:szCs w:val="24"/>
        </w:rPr>
        <w:t>.</w:t>
      </w:r>
    </w:p>
    <w:p w:rsidR="00B840BA" w:rsidRPr="00B840BA" w:rsidRDefault="00B840BA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B840BA">
        <w:rPr>
          <w:rFonts w:ascii="Times New Roman" w:hAnsi="Times New Roman" w:cs="Times New Roman"/>
          <w:sz w:val="24"/>
          <w:szCs w:val="24"/>
        </w:rPr>
        <w:t xml:space="preserve">– As medidas estabelecidas nesta lei objetivam a proteção da coletividade e serão </w:t>
      </w:r>
      <w:proofErr w:type="gramStart"/>
      <w:r w:rsidRPr="00B840BA">
        <w:rPr>
          <w:rFonts w:ascii="Times New Roman" w:hAnsi="Times New Roman" w:cs="Times New Roman"/>
          <w:sz w:val="24"/>
          <w:szCs w:val="24"/>
        </w:rPr>
        <w:t>implementadas</w:t>
      </w:r>
      <w:proofErr w:type="gramEnd"/>
      <w:r w:rsidRPr="00B840BA">
        <w:rPr>
          <w:rFonts w:ascii="Times New Roman" w:hAnsi="Times New Roman" w:cs="Times New Roman"/>
          <w:sz w:val="24"/>
          <w:szCs w:val="24"/>
        </w:rPr>
        <w:t xml:space="preserve"> em consonância com as orientações da Organização Mundial da Saúde – OMS –, observadas as seguintes diretrizes:</w:t>
      </w:r>
    </w:p>
    <w:p w:rsidR="00B840BA" w:rsidRPr="00B840BA" w:rsidRDefault="00B840BA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>I</w:t>
      </w:r>
      <w:r w:rsidRPr="00B840BA">
        <w:rPr>
          <w:rFonts w:ascii="Times New Roman" w:hAnsi="Times New Roman" w:cs="Times New Roman"/>
          <w:sz w:val="24"/>
          <w:szCs w:val="24"/>
        </w:rPr>
        <w:t xml:space="preserve"> – promoção de diálogo, cooperação e interação entre União, Estado e municípios;</w:t>
      </w:r>
    </w:p>
    <w:p w:rsidR="00B840BA" w:rsidRPr="00B840BA" w:rsidRDefault="00B840BA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B840B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840BA">
        <w:rPr>
          <w:rFonts w:ascii="Times New Roman" w:hAnsi="Times New Roman" w:cs="Times New Roman"/>
          <w:sz w:val="24"/>
          <w:szCs w:val="24"/>
        </w:rPr>
        <w:t>intersetorialidade</w:t>
      </w:r>
      <w:proofErr w:type="spellEnd"/>
      <w:r w:rsidRPr="00B840BA">
        <w:rPr>
          <w:rFonts w:ascii="Times New Roman" w:hAnsi="Times New Roman" w:cs="Times New Roman"/>
          <w:sz w:val="24"/>
          <w:szCs w:val="24"/>
        </w:rPr>
        <w:t>, transversalidade e integração das políticas públicas;</w:t>
      </w:r>
    </w:p>
    <w:p w:rsidR="00B840BA" w:rsidRPr="00B840BA" w:rsidRDefault="00B840BA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B840BA">
        <w:rPr>
          <w:rFonts w:ascii="Times New Roman" w:hAnsi="Times New Roman" w:cs="Times New Roman"/>
          <w:sz w:val="24"/>
          <w:szCs w:val="24"/>
        </w:rPr>
        <w:t>– articulação entre as ações do poder público e da sociedade civil;</w:t>
      </w:r>
    </w:p>
    <w:p w:rsidR="0089123D" w:rsidRDefault="00B840BA" w:rsidP="00B840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>IV</w:t>
      </w:r>
      <w:r w:rsidRPr="00B840BA">
        <w:rPr>
          <w:rFonts w:ascii="Times New Roman" w:hAnsi="Times New Roman" w:cs="Times New Roman"/>
          <w:sz w:val="24"/>
          <w:szCs w:val="24"/>
        </w:rPr>
        <w:t xml:space="preserve"> – ampla divulgação das medidas planejadas e em execução, bem como de seus resultados.</w:t>
      </w:r>
    </w:p>
    <w:p w:rsidR="00B840BA" w:rsidRPr="00B840BA" w:rsidRDefault="0089123D" w:rsidP="00B840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131F79" w:rsidRPr="00DA2BC9">
        <w:rPr>
          <w:rFonts w:ascii="Times New Roman" w:hAnsi="Times New Roman" w:cs="Times New Roman"/>
          <w:b/>
          <w:sz w:val="24"/>
          <w:szCs w:val="24"/>
        </w:rPr>
        <w:t>º</w:t>
      </w:r>
      <w:r w:rsidR="00131F79" w:rsidRPr="00131F79">
        <w:rPr>
          <w:rFonts w:ascii="Times New Roman" w:hAnsi="Times New Roman" w:cs="Times New Roman"/>
          <w:sz w:val="24"/>
          <w:szCs w:val="24"/>
        </w:rPr>
        <w:t xml:space="preserve"> - </w:t>
      </w:r>
      <w:r w:rsidR="00B840BA" w:rsidRPr="00B840BA">
        <w:rPr>
          <w:rFonts w:ascii="Times New Roman" w:hAnsi="Times New Roman" w:cs="Times New Roman"/>
          <w:sz w:val="24"/>
          <w:szCs w:val="24"/>
        </w:rPr>
        <w:t>A</w:t>
      </w:r>
      <w:r w:rsidR="00B840BA">
        <w:rPr>
          <w:rFonts w:ascii="Times New Roman" w:hAnsi="Times New Roman" w:cs="Times New Roman"/>
          <w:sz w:val="24"/>
          <w:szCs w:val="24"/>
        </w:rPr>
        <w:t>rt. 2º – Para fins d</w:t>
      </w:r>
      <w:r w:rsidR="00B840BA" w:rsidRPr="00B840BA">
        <w:rPr>
          <w:rFonts w:ascii="Times New Roman" w:hAnsi="Times New Roman" w:cs="Times New Roman"/>
          <w:sz w:val="24"/>
          <w:szCs w:val="24"/>
        </w:rPr>
        <w:t>esta lei</w:t>
      </w:r>
      <w:proofErr w:type="gramStart"/>
      <w:r w:rsidR="00B840BA" w:rsidRPr="00B840BA">
        <w:rPr>
          <w:rFonts w:ascii="Times New Roman" w:hAnsi="Times New Roman" w:cs="Times New Roman"/>
          <w:sz w:val="24"/>
          <w:szCs w:val="24"/>
        </w:rPr>
        <w:t>, considera-se</w:t>
      </w:r>
      <w:proofErr w:type="gramEnd"/>
      <w:r w:rsidR="00B840BA" w:rsidRPr="00B840BA">
        <w:rPr>
          <w:rFonts w:ascii="Times New Roman" w:hAnsi="Times New Roman" w:cs="Times New Roman"/>
          <w:sz w:val="24"/>
          <w:szCs w:val="24"/>
        </w:rPr>
        <w:t>:</w:t>
      </w:r>
    </w:p>
    <w:p w:rsidR="00B840BA" w:rsidRPr="00B840BA" w:rsidRDefault="00B840BA" w:rsidP="00B840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>I</w:t>
      </w:r>
      <w:r w:rsidRPr="00B840BA">
        <w:rPr>
          <w:rFonts w:ascii="Times New Roman" w:hAnsi="Times New Roman" w:cs="Times New Roman"/>
          <w:sz w:val="24"/>
          <w:szCs w:val="24"/>
        </w:rPr>
        <w:t xml:space="preserve"> – isolamento a separação de pessoas doentes ou contaminadas, ou de bagagens, meios de transporte, mercadorias ou encomendas postais afetados, de maneira a evitar a con</w:t>
      </w:r>
      <w:r>
        <w:rPr>
          <w:rFonts w:ascii="Times New Roman" w:hAnsi="Times New Roman" w:cs="Times New Roman"/>
          <w:sz w:val="24"/>
          <w:szCs w:val="24"/>
        </w:rPr>
        <w:t>taminação ou a propagação da</w:t>
      </w:r>
      <w:r w:rsidRPr="00B840B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OVID</w:t>
      </w:r>
      <w:r w:rsidRPr="00B840BA">
        <w:rPr>
          <w:rFonts w:ascii="Times New Roman" w:hAnsi="Times New Roman" w:cs="Times New Roman"/>
          <w:sz w:val="24"/>
          <w:szCs w:val="24"/>
        </w:rPr>
        <w:t>-19;</w:t>
      </w:r>
    </w:p>
    <w:p w:rsidR="00B840BA" w:rsidRPr="00B840BA" w:rsidRDefault="00B840BA" w:rsidP="00B840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40BA">
        <w:rPr>
          <w:rFonts w:ascii="Times New Roman" w:hAnsi="Times New Roman" w:cs="Times New Roman"/>
          <w:b/>
          <w:sz w:val="24"/>
          <w:szCs w:val="24"/>
        </w:rPr>
        <w:t>II</w:t>
      </w:r>
      <w:r w:rsidRPr="00B840BA">
        <w:rPr>
          <w:rFonts w:ascii="Times New Roman" w:hAnsi="Times New Roman" w:cs="Times New Roman"/>
          <w:sz w:val="24"/>
          <w:szCs w:val="24"/>
        </w:rPr>
        <w:t xml:space="preserve"> – quarentena a restrição de atividades ou a separação de pessoas suspeitas de contaminação das pessoas que não estejam doentes, ou d</w:t>
      </w:r>
      <w:r>
        <w:rPr>
          <w:rFonts w:ascii="Times New Roman" w:hAnsi="Times New Roman" w:cs="Times New Roman"/>
          <w:sz w:val="24"/>
          <w:szCs w:val="24"/>
        </w:rPr>
        <w:t>e bagagens, contêineres</w:t>
      </w:r>
      <w:r w:rsidRPr="00B840BA">
        <w:rPr>
          <w:rFonts w:ascii="Times New Roman" w:hAnsi="Times New Roman" w:cs="Times New Roman"/>
          <w:sz w:val="24"/>
          <w:szCs w:val="24"/>
        </w:rPr>
        <w:t xml:space="preserve">, meios de transporte ou mercadorias suspeitos de contaminação, de maneira a evitar a possível contaminação </w:t>
      </w:r>
      <w:r>
        <w:rPr>
          <w:rFonts w:ascii="Times New Roman" w:hAnsi="Times New Roman" w:cs="Times New Roman"/>
          <w:sz w:val="24"/>
          <w:szCs w:val="24"/>
        </w:rPr>
        <w:t>ou a propagação da COVID-19;</w:t>
      </w:r>
    </w:p>
    <w:p w:rsidR="00B840BA" w:rsidRPr="00B840BA" w:rsidRDefault="00B840BA" w:rsidP="00B840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Art. 3º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Para o enfre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ntamento da pandemia de COVID-19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poderão ser adotadas pela autoridade competente as seguintes medidas, entre outras: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isolamento;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quarentena;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determinação de realização dos seguintes procedimentos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respaldo em ordem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judicial quando for 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necessária determinação compulsória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a)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exames médicos;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b)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testes laboratoriais;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c) 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coleta de amostras clínicas;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d)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vacinação e outras medidas profiláticas;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e)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tratamentos médicos específicos;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estudo ou investigação epidemiológica;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V 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exumação, necropsia, cremação e manejo de cadáver;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requisição de bens e serviços de pessoas naturais e jurídicas, hipótese em que será garantido o pagamento posterior de indenização justa, em dinheiro;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autorização excepcional e temporária para importação de produtos sujeitos à vigilância sanitária sem registro na Agência Nacional de Vigilância Sanitária – </w:t>
      </w:r>
      <w:proofErr w:type="gramStart"/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Anvisa</w:t>
      </w:r>
      <w:proofErr w:type="gramEnd"/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–, desde que registrados por autoridade sanitária estrangeira e previstos em ato do Ministério da Saúde;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garantia do direito da população ao acesso a medicamentos solicitados por meio remoto;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IX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garantia do direito da população ao acesso aos serviços e às ações de saúde na modalidade virtual, observada a regulamentação profissional das categorias de saúde envolvidas;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incentivo à contratação de médicos e profissionais de saúde, independentemente da nacionalidade, para atuação na prestação de ações e serviços de saúde;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XI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garantia de acesso a itens de higiene para públicos considerados de risco para complicaçõ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 de saúde decorrentes da COVID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descentralização do atendimento emergencial de saúde, especialmente por meio da construção regionalizada de hospitais de campanha;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XIII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incentivo da testagem m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assiva da população para a COVID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-19, em todas as regiões sanitárias, com vistas a identificar as pessoas contaminadas, garantir o isolamento social de pessoas assintomáticas e minimizar a propagação do </w:t>
      </w:r>
      <w:proofErr w:type="spellStart"/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acordo com o perfil epidemiológico de cada região sanitária.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As medidas previstas neste artigo somente poderão ser tomadas com base em evidências científicas e análises sobre informações estratégicas em saúde e se limitarão, no tempo e no espaço, ao mínimo indispensável à promoção e à preservação da saúde pública.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Ficam assegurados às pessoas afetadas pelas medidas previstas neste artigo: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direito de serem informadas permanentemente sobre seu estado de saúde, na forma de regulamento;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direito à assistência à família, na forma de regulamento;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direito de receberem tratamento gratuito na rede pública de saúde;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3º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As pessoas que não cumprirem as medidas previstas neste artigo ficarão sujeitas à responsabilização, 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houver previsão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lei.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4º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Quando não houver leitos disponíveis nos hospitais públicos ou particulares credenciados no Sistema Único de Saúde – SUS –, o gestor de saúde, na forma de regulamento, poderá requisitar a internação, nos hospitais da rede privada, de pessoas infectadas pelo </w:t>
      </w:r>
      <w:proofErr w:type="spellStart"/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40BA" w:rsidRPr="00B840BA" w:rsidRDefault="00B840BA" w:rsidP="00B840BA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5º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Estado </w:t>
      </w:r>
      <w:r w:rsid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poderá realizar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parcerias com estabelecimentos públicos e privados com o objetivo de realizar os procedimentos compulsórios de que trata o inciso III do</w:t>
      </w:r>
      <w:r w:rsidRPr="00B840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caput</w:t>
      </w:r>
      <w:r w:rsidRPr="00B840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deste artigo sem cobrança de taxas adicionais, na forma de regulamento.</w:t>
      </w:r>
    </w:p>
    <w:p w:rsidR="00B840BA" w:rsidRDefault="00B840BA" w:rsidP="00131F7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Art. 4º 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Com o objetivo de ampliar o alcance do combate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efeitos da pandemia da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-19, poderão ser adotadas as seguintes medidas: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 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designação de um órgão central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contingência da pandemia de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-19, composto por membros que possuam qualificação técnica adequada, com atribuições de envolvimento e coordenação dos profissionais da área de saúde, bem como atribuições de acompanhamento e monitoramento das atividades econômicas e de vulnerabilidade social, para o desenvolvimento de ações eficientes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contra a propagação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Maranhão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para a redução de seus impactos na economia e na capacidade de subsistência dos indivíduos e das empresas;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incentivo à </w:t>
      </w:r>
      <w:proofErr w:type="gramStart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campanha educativa informando a população sobre contágio, prevenção, sintomas e tratamento de doença epidêmica;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combate, especialmente por meio de campanhas publicitárias, da divulgação ou do compartilhamento, por qualquer meio, de notícia ou informação sabidamente falsa ou prejudicialmente incompleta que altere, corrompa ou distorça a verdade acerca de epidemias, endemias e pandemias,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pecialmente da pandemia de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-19, em prejuízo do interesse público de zelar pela saúde da população;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proofErr w:type="gramStart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estímulo à proteção dos agentes públicos estaduais afetados</w:t>
      </w:r>
      <w:proofErr w:type="gramEnd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pandemia de Covid-19, por meio de autorização, quando necessária e possível, de abono de faltas, adoção de trabalho remoto e prorrogação de licença para tratamento de saúde, bem como por meio de esforços para evitar o corte de benefícios e auxílios e para manter os vínculos com o Estado dos servidores ocupantes de função pública e de cargo em comissão de livre nomeação e exoneração, dos empregados públicos e dos contratados pelo poder público;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garantia de apoio psicológico aos profissionais de saúde do 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Maranhão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envolvidos nos atendim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entos relacionados à pandemia de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garantia de acesso dos profissionais de saúde do Estado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Maranhão 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atuantes no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bate à pandemia de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 a hospedagem próxima ao local de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haja necessidade e interesse público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nos termos de regulamento;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VII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suspensão do prazo de validade dos concursos públicos estaduais, independentemente de homologação, enquanto perdurar o estado de calamidade pública deco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rrente da pandemia de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-19;</w:t>
      </w:r>
    </w:p>
    <w:p w:rsidR="001E49CB" w:rsidRPr="001E49CB" w:rsidRDefault="001E49CB" w:rsidP="001E49CB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VIII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ncentivo à colaboração entre o Poder P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úblico, empresas privadas, pessoas físicas e entidades da sociedade civil para a aquisição permanente ou para a utilização temporária, a título não oneroso, de bens móveis e imóveis destinados ao combate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efeitos da pandemia de COVID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 e às ações de saúde.</w:t>
      </w:r>
    </w:p>
    <w:p w:rsidR="001E49CB" w:rsidRPr="001E49CB" w:rsidRDefault="001E49CB" w:rsidP="00B84605">
      <w:pPr>
        <w:shd w:val="clear" w:color="auto" w:fill="FFFFFF"/>
        <w:spacing w:before="28"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proofErr w:type="gramStart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gramEnd"/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adotadas todas as medidas possíveis para fornecer aos profissionais da saúde pública e aos integrantes da Polícia Militar, do Corpo de Bombeiros Militar, da Polícia Civil, do sistema prisional e do sistema socioeducativo do 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Maranhão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equipamentos de proteção individual necessários ao exercício de suas funções, a exemplo de álcool em gel, máscaras, óculos de proteção e luvas, nos termos recomendados pelo Ministério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pela Organização Mundial da Saúde - OMS</w:t>
      </w:r>
      <w:r w:rsidRPr="001E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5º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Os órgãos e as entidades da administração pública estadual compartilharão entre si e com as administrações </w:t>
      </w:r>
      <w:proofErr w:type="gramStart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municipais e federal</w:t>
      </w:r>
      <w:proofErr w:type="gram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dados essenciais à identificação de pessoas infectadas ou com suspeita de infecção pelo </w:t>
      </w:r>
      <w:proofErr w:type="spellStart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causador da COVID-19, com a finalidade exclusiva de evitar sua propagação.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 1º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 obrigação a que se refere o </w:t>
      </w:r>
      <w:r w:rsidRPr="00B8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estende-se às pessoas jurídicas de direito privado, que devem fornecer de imediato os dados para as autoridades públicas competentes.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 2º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O órgão estadual competente manterá públicos e atualizados os dados sobre os óbitos confirmados e sobre os casos, confirmados, suspeitos e em investigação, de </w:t>
      </w:r>
      <w:proofErr w:type="gramStart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contaminação pelo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resguardado</w:t>
      </w:r>
      <w:proofErr w:type="gram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direito ao sigilo das informações pessoais.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6º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Todos os cidadãos deverão colaborar com as autoridades sanitárias na comunicação imediata de: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possí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veis contatos com pessoas contaminadas pela COVID-19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II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circulação em áreas consideradas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regiões de contaminação da COVID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Poderá ser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dispensável a licitação para aquisição de bens, serviços e insumos de saúde destinados ao enfrentamento do estado de calamidade pública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decorrente da pandemia de COVID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-19, nos termos do art. 4º da Lei Federal nº 13.979, de </w:t>
      </w:r>
      <w:proofErr w:type="gramStart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proofErr w:type="gram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fevereiro de 2020.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dispensa de licitação a que se refere o </w:t>
      </w:r>
      <w:r w:rsidRPr="00B8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 temporária e durará enquanto perdurar o estado de calamidade pública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decorrente da pandemia de COVID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As contratações ou aquisições realizadas com base nesta lei serão imediatamente disponibilizadas em</w:t>
      </w:r>
      <w:r w:rsidRPr="00B8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site 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oficial específico na internet.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Art. 8º</w:t>
      </w:r>
      <w:r w:rsidRPr="00B84605">
        <w:rPr>
          <w:color w:val="000000"/>
        </w:rPr>
        <w:t xml:space="preserve"> – O serviço de transporte coletivo intermunicipal e metropolitano de passageiros será prestado segundo padrões</w:t>
      </w:r>
      <w:proofErr w:type="gramStart"/>
      <w:r w:rsidRPr="00B84605">
        <w:rPr>
          <w:color w:val="000000"/>
        </w:rPr>
        <w:t xml:space="preserve">  </w:t>
      </w:r>
      <w:proofErr w:type="spellStart"/>
      <w:proofErr w:type="gramEnd"/>
      <w:r w:rsidRPr="00B84605">
        <w:rPr>
          <w:color w:val="000000"/>
        </w:rPr>
        <w:t>anitários</w:t>
      </w:r>
      <w:proofErr w:type="spellEnd"/>
      <w:r w:rsidRPr="00B84605">
        <w:rPr>
          <w:color w:val="000000"/>
        </w:rPr>
        <w:t xml:space="preserve"> capazes de mitigar ou conter a propagação de vírus e bactérias, com a observância, durante a vigência do estado de calamidade pública decorrente da pandemia de COVID-19, das seguintes diretrizes: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</w:t>
      </w:r>
      <w:r w:rsidRPr="00B84605">
        <w:rPr>
          <w:color w:val="000000"/>
        </w:rPr>
        <w:t xml:space="preserve"> – intensificação dos procedimentos de higienização dos veículos e das edificações, nos termos de protocolos do Ministério da Saúde e da Organização Mundial da Saúde - OMS, principalmente nos locais de maior fluxo de passageiros e nas superfícies que entram em contato com as mãos dos usuários;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II</w:t>
      </w:r>
      <w:r w:rsidRPr="00B84605">
        <w:rPr>
          <w:color w:val="000000"/>
        </w:rPr>
        <w:t xml:space="preserve"> – redução da lotação máxima dos veículos, de acordo com os critérios estabelecidos pela autoridade sanitária competente, na forma de regulamento.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Parágrafo único</w:t>
      </w:r>
      <w:r w:rsidRPr="00B84605">
        <w:rPr>
          <w:color w:val="000000"/>
        </w:rPr>
        <w:t xml:space="preserve"> – O Poder Público poderá, durante a vigência do estado de calamidade pública de que trata esta lei, adotar medidas para viabilizar a manutenção das condições dos contratos administrativos de serviço de transporte coletivo intermunicipal e metropolitano, bem como de outros contratos de prestação de serviços contínuos de mão de obra não eventual.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Art. 9º</w:t>
      </w:r>
      <w:r w:rsidRPr="00B84605">
        <w:rPr>
          <w:color w:val="000000"/>
        </w:rPr>
        <w:t xml:space="preserve"> – O Estado poderá estabelecer parcerias com os estabelecimentos públicos e privados, com o objetivo de adotar medidas que visem à proteção da saúde do consumidor, promovendo a disponibilização das orientações e dos recursos </w:t>
      </w:r>
      <w:r w:rsidRPr="00B84605">
        <w:rPr>
          <w:color w:val="000000"/>
        </w:rPr>
        <w:lastRenderedPageBreak/>
        <w:t>necessários à higienização pessoal para prevenir a transmissão de doenças, na forma de regulamento.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 xml:space="preserve">§ 1º </w:t>
      </w:r>
      <w:r w:rsidRPr="00B84605">
        <w:rPr>
          <w:color w:val="000000"/>
        </w:rPr>
        <w:t>– Nas parcerias a que se refere o </w:t>
      </w:r>
      <w:r w:rsidRPr="00B84605">
        <w:rPr>
          <w:i/>
          <w:iCs/>
          <w:color w:val="000000"/>
        </w:rPr>
        <w:t>caput</w:t>
      </w:r>
      <w:r w:rsidRPr="00B84605">
        <w:rPr>
          <w:color w:val="000000"/>
        </w:rPr>
        <w:t xml:space="preserve">, o Estado incentivará os estabelecimentos </w:t>
      </w:r>
      <w:proofErr w:type="gramStart"/>
      <w:r w:rsidRPr="00B84605">
        <w:rPr>
          <w:color w:val="000000"/>
        </w:rPr>
        <w:t>mencionados a adotarem outras medidas de prevenção que se fizerem necessárias, incluindo medidas de organização de seus atendimentos destinadas a evitar aglomerações</w:t>
      </w:r>
      <w:proofErr w:type="gramEnd"/>
      <w:r w:rsidRPr="00B84605">
        <w:rPr>
          <w:color w:val="000000"/>
        </w:rPr>
        <w:t>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 xml:space="preserve">§ 2º </w:t>
      </w:r>
      <w:r w:rsidRPr="00B84605">
        <w:rPr>
          <w:color w:val="000000"/>
        </w:rPr>
        <w:t>– Na adoção das medidas de organização de atendimento a que se refere o § 1º, o responsável pelo estabelecimento observará as normas vigentes relativas ao direito a atendimento prioritário.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 xml:space="preserve">Art. 10 </w:t>
      </w:r>
      <w:r w:rsidRPr="00B84605">
        <w:rPr>
          <w:color w:val="000000"/>
        </w:rPr>
        <w:t>– Para fins de proteção do consumidor, o Estado poderá adotar as seguintes medidas: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</w:t>
      </w:r>
      <w:r w:rsidRPr="00B84605">
        <w:rPr>
          <w:color w:val="000000"/>
        </w:rPr>
        <w:t xml:space="preserve"> – limitação do volume de aquisição de produtos higiênicos, alimentícios e fármacos durante a pandemia de COVID-19;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II</w:t>
      </w:r>
      <w:r w:rsidRPr="00B84605">
        <w:rPr>
          <w:color w:val="000000"/>
        </w:rPr>
        <w:t xml:space="preserve"> – proteção aos consumidores de serviços de telecomunicações no sentido de punir as interrupções injustificadas do acesso a esses serviços;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III</w:t>
      </w:r>
      <w:r w:rsidRPr="00B84605">
        <w:rPr>
          <w:color w:val="000000"/>
        </w:rPr>
        <w:t xml:space="preserve"> – fomento de instrumentos que assegurem ao consumidor, no caso de cancelamento em função da pandemia de COVID-19, o ressarcimento dos valores pagos em pacotes turísticos, passagens aéreas e terrestres e hotéis;</w:t>
      </w:r>
    </w:p>
    <w:p w:rsidR="00B84605" w:rsidRP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IV</w:t>
      </w:r>
      <w:r w:rsidRPr="00B84605">
        <w:rPr>
          <w:color w:val="000000"/>
        </w:rPr>
        <w:t xml:space="preserve"> – combate à elevação injustificada de preços de insumos, produtos ou serviços, em especial os </w:t>
      </w:r>
      <w:proofErr w:type="gramStart"/>
      <w:r w:rsidRPr="00B84605">
        <w:rPr>
          <w:color w:val="000000"/>
        </w:rPr>
        <w:t>utilizados no combate ou na prevenção da pandemia de COVID-19, ressalvada</w:t>
      </w:r>
      <w:proofErr w:type="gramEnd"/>
      <w:r w:rsidRPr="00B84605">
        <w:rPr>
          <w:color w:val="000000"/>
        </w:rPr>
        <w:t xml:space="preserve"> a oscilação natural de preço para adequação de oferta e demanda a fim de se evitar a escassez;</w:t>
      </w:r>
    </w:p>
    <w:p w:rsidR="00B84605" w:rsidRDefault="00B84605" w:rsidP="00B84605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</w:rPr>
        <w:t>V</w:t>
      </w:r>
      <w:r w:rsidRPr="00B84605">
        <w:rPr>
          <w:color w:val="000000"/>
        </w:rPr>
        <w:t xml:space="preserve"> – combate à cobrança não prevista no instrumento contratual, pelas instituições de ensino, do envio eletrônico de atividades pedagógicas regulares.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11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Para fins de redução das perdas econômico-financeiras sofridas pelos estabelecimentos agropecuários, agroindustriais de pequeno porte ou artesanais, industriais e comerciais e prestadores de serviço que tiverem suspensas ou reduzidas suas atividades por ato do poder público que objetive o enfrentamento da pandemia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COVID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 ou por efeito de ato dessa natureza, o Estado poderá adotar as seguintes medidas: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adoção de providências visando </w:t>
      </w:r>
      <w:proofErr w:type="gramStart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proofErr w:type="gramEnd"/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interrupção do fornecimento dos serviços públicos sob responsabilidade do Estado, ainda que haja inadimplência ou atraso no pagamento das tarifas ou taxas relativas a esses serviços;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avaliação da possibilidade de suspensão temporária de novos reajustes das tarifas dos serviços públicos sob a responsabilidade do Estado;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promoção da obtenção de crédito e de suporte logístico e operacional, especialmente pelas microempresas e empresas de pequeno porte localizadas no Estado e pelos microempreendedores individuais;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avaliação da possibilidade de prorrogação do pagamento de tributos, multas e demais encargos de mesma natureza, na via administrativa ou judicial, durante o período de vigência do estado de calamidade pública decorrente da pandemia de Covid-19, respeitadas as medidas sujeitas à reserva legal;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avaliação da possibilidade de suspensão temporária dos procedimentos de cobrança de dívidas tributárias e não tributárias, bem como de parcelamento do pagamento de débito consolidado, no período em que perdurar o estado de calamidade pública;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VI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</w:t>
      </w:r>
      <w:r w:rsid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avaliação da possibilidade de 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redução ou eliminação da carga tributária incidente sobre produtos para 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revenção e o tratamento da COVID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-19;</w:t>
      </w:r>
    </w:p>
    <w:p w:rsidR="00B84605" w:rsidRPr="00B84605" w:rsidRDefault="00B84605" w:rsidP="00B8460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gestão junto ao governo federal para a redução da carga tributária de pequenas e microempresas optantes do regime do Simples Nacional;</w:t>
      </w:r>
    </w:p>
    <w:p w:rsidR="00B84605" w:rsidRPr="00B84605" w:rsidRDefault="00B8460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4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VIII</w:t>
      </w:r>
      <w:r w:rsidRPr="00B8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avaliação da possibilidade de suspensão temporária de cobranças relativas à utilização da infraestrutura de postes e demais equipamentos do Estado para os provedores de internet sediados no Estado.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12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Estado, em articulação com a União e os municípios, poderá adotar medidas de proteção social de grupos vulneráveis da população, </w:t>
      </w:r>
      <w:proofErr w:type="gramStart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destinadas</w:t>
      </w:r>
      <w:proofErr w:type="gramEnd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reduzir os efeitos socioeconômicos decorrentes das ações de enfrentamento da pandemia de COVID-19, de acordo com as seguintes diretrizes: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I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concessão de renda mínima emergencial e temporária, com vistas a garantir as condições de sobrevivência, segurança alimentar e higiene necessárias à prevenção da COVID-19, conforme critérios definidos em regulamento, para os seguintes grupos, entre outros: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famílias em situação de vulnerabilidade socioeconômica inscritas no Cadastro Único para Programas Sociais do Governo Federal – </w:t>
      </w:r>
      <w:proofErr w:type="spellStart"/>
      <w:proofErr w:type="gramStart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CadÚnico</w:t>
      </w:r>
      <w:proofErr w:type="spellEnd"/>
      <w:proofErr w:type="gramEnd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empreendedores solidários cadastrados nos programas estaduais de apoio à economia popular e solidária;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catadores de materiais recicláveis;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agricultores familiares e pescadores artesanais que possuam</w:t>
      </w:r>
      <w:r w:rsidR="00BB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de Aptidão ao PRONAF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DAP – ativa ou vencida durante a vigência do estado de calamidade pública decorrente da pandemia de COVID-19 ou que comprovem, por outra via, o exercício da agricultura familiar ou da pesca artesanal;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trabalhadores informais inscritos no </w:t>
      </w:r>
      <w:proofErr w:type="spellStart"/>
      <w:proofErr w:type="gramStart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CadÚnico</w:t>
      </w:r>
      <w:proofErr w:type="spellEnd"/>
      <w:proofErr w:type="gramEnd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comunidades indígenas;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comunidades quilombolas;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h) famílias em situação de vulnerabilidade no campo;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assistência alimentar às famílias de estudantes matriculados na educação básica da rede estadual de ensino ou em instituição educacional conveniada com o Estado;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proteção à população em situação de rua, de modo a garantir, nos termos de regulamento: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segurança alimentar, com a oferta de refeições diárias;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condições adequadas para o abrigo e o acolhimento temporário;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à água potável para consumo próprio e para higiene pessoal, observada, quando couber, a competência de entidade municipal autônoma;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 sobre os riscos de contaminação e sobre as medidas de proteção adequadas.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§ 1º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disposto no inciso I do art. 11 estende-se aos grupos vulneráveis da população a que se refere o </w:t>
      </w:r>
      <w:r w:rsidRPr="008549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caput.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As medidas de proteção destinadas à população em situação de rua, a que se refere o inciso III do </w:t>
      </w:r>
      <w:r w:rsidRPr="008549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caput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não incluirão o recolhimento e a internação compulsórios.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13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Estado poderá adotar medidas voltadas para a continuidade, em seu território, da produção agropecuária e da pesca artesanal, bem como para a continuidade do abastecimento dos centros consumidores, conforme critérios </w:t>
      </w:r>
      <w:proofErr w:type="gramStart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definidos em regulamento, observadas</w:t>
      </w:r>
      <w:proofErr w:type="gramEnd"/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diretrizes: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estímulo à produção e à comercialização de alimentos, com atenção especial a agricultores familiares e pequenos produtores rurais, por meio da aquisição direta de produtos agroalimentares com procedimentos simplificados;</w:t>
      </w:r>
    </w:p>
    <w:p w:rsidR="00854925" w:rsidRPr="00854925" w:rsidRDefault="00854925" w:rsidP="00854925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dinamização do abastecimento dos centros consumidores por meio de:</w:t>
      </w:r>
    </w:p>
    <w:p w:rsidR="00854925" w:rsidRPr="00854925" w:rsidRDefault="00854925" w:rsidP="001A7A94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apoio ao desenvolvimento de sistemas de aquisição direta com entrega em domicílio;</w:t>
      </w:r>
    </w:p>
    <w:p w:rsidR="00854925" w:rsidRPr="00854925" w:rsidRDefault="00854925" w:rsidP="001A7A94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doação de alimentos para famílias de baixa renda;</w:t>
      </w:r>
    </w:p>
    <w:p w:rsidR="00854925" w:rsidRPr="001A7A94" w:rsidRDefault="00854925" w:rsidP="001A7A94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c)</w:t>
      </w:r>
      <w:r w:rsidRPr="00854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manutenção, quando possível, de aquisições diretas de produtos da agricultura familiar no âmbito do Programa Nacional de Alimentação Escolar, para assistência alimentar às famílias dos estudantes.</w:t>
      </w:r>
    </w:p>
    <w:p w:rsidR="001A7A94" w:rsidRPr="001A7A94" w:rsidRDefault="001A7A94" w:rsidP="001A7A94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14</w:t>
      </w:r>
      <w:r w:rsidRPr="001A7A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Estado prestará o auxílio necessário para resguardar o exercício e o funcionamento dos serviços públicos e das atividades essenciais, em consonância com o disposto na Lei Federal nº 13.979, de 2020.</w:t>
      </w:r>
    </w:p>
    <w:p w:rsidR="001A7A94" w:rsidRPr="001A7A94" w:rsidRDefault="001A7A94" w:rsidP="001A7A94">
      <w:pPr>
        <w:shd w:val="clear" w:color="auto" w:fill="FFFFFF"/>
        <w:spacing w:before="28" w:after="28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15</w:t>
      </w:r>
      <w:r w:rsidRPr="001A7A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 Estado contribuirá para a identificação dos beneficiários de auxílios emergenciais instituídos pela União.</w:t>
      </w:r>
    </w:p>
    <w:p w:rsidR="001A7A94" w:rsidRPr="001A7A94" w:rsidRDefault="001A7A94" w:rsidP="001A7A94">
      <w:pPr>
        <w:pStyle w:val="NormalWeb"/>
        <w:shd w:val="clear" w:color="auto" w:fill="FFFFFF"/>
        <w:spacing w:before="28" w:beforeAutospacing="0" w:after="28" w:afterAutospacing="0" w:line="360" w:lineRule="auto"/>
        <w:ind w:firstLine="1418"/>
        <w:jc w:val="both"/>
        <w:rPr>
          <w:color w:val="000000"/>
        </w:rPr>
      </w:pPr>
      <w:r w:rsidRPr="00BB5FC1">
        <w:rPr>
          <w:b/>
          <w:color w:val="000000"/>
          <w:shd w:val="clear" w:color="auto" w:fill="FFFFFF"/>
        </w:rPr>
        <w:t>Art. 16</w:t>
      </w:r>
      <w:r w:rsidRPr="001A7A94">
        <w:rPr>
          <w:color w:val="000000"/>
          <w:shd w:val="clear" w:color="auto" w:fill="FFFFFF"/>
        </w:rPr>
        <w:t xml:space="preserve"> – Esta lei entra em vigor na data de sua publicação, produzindo efeitos, relativamente aos </w:t>
      </w:r>
      <w:proofErr w:type="spellStart"/>
      <w:r w:rsidRPr="001A7A94">
        <w:rPr>
          <w:color w:val="000000"/>
          <w:shd w:val="clear" w:color="auto" w:fill="FFFFFF"/>
        </w:rPr>
        <w:t>arts</w:t>
      </w:r>
      <w:proofErr w:type="spellEnd"/>
      <w:r w:rsidRPr="001A7A94">
        <w:rPr>
          <w:color w:val="000000"/>
          <w:shd w:val="clear" w:color="auto" w:fill="FFFFFF"/>
        </w:rPr>
        <w:t xml:space="preserve">. 1º a 15, enquanto perdurar o estado de calamidade pública decorrente da pandemia de COVID-19, estabelecido pelo </w:t>
      </w:r>
      <w:r w:rsidRPr="001A7A94">
        <w:t>Decreto nº 35.677 de 2020 do Estado do Maranhão</w:t>
      </w:r>
      <w:r w:rsidRPr="001A7A94">
        <w:rPr>
          <w:color w:val="000000"/>
          <w:shd w:val="clear" w:color="auto" w:fill="FFFFFF"/>
        </w:rPr>
        <w:t>.</w:t>
      </w:r>
    </w:p>
    <w:p w:rsidR="0046545C" w:rsidRPr="00E4323D" w:rsidRDefault="0046545C" w:rsidP="0046545C">
      <w:pPr>
        <w:pStyle w:val="Ttulo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323D">
        <w:rPr>
          <w:rFonts w:ascii="Times New Roman" w:hAnsi="Times New Roman"/>
          <w:b/>
          <w:sz w:val="24"/>
          <w:szCs w:val="24"/>
        </w:rPr>
        <w:lastRenderedPageBreak/>
        <w:t>DR. YGLÉSIO</w:t>
      </w:r>
    </w:p>
    <w:p w:rsidR="0046545C" w:rsidRPr="00E4323D" w:rsidRDefault="0046545C" w:rsidP="004654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23D">
        <w:rPr>
          <w:rFonts w:ascii="Times New Roman" w:hAnsi="Times New Roman" w:cs="Times New Roman"/>
          <w:b/>
          <w:sz w:val="20"/>
          <w:szCs w:val="20"/>
        </w:rPr>
        <w:t>DEPUTADO ESTADUAL</w:t>
      </w:r>
      <w:r w:rsidR="00DA2BC9">
        <w:rPr>
          <w:rFonts w:ascii="Times New Roman" w:hAnsi="Times New Roman" w:cs="Times New Roman"/>
          <w:b/>
          <w:sz w:val="20"/>
          <w:szCs w:val="20"/>
        </w:rPr>
        <w:t xml:space="preserve"> - PROS</w:t>
      </w:r>
    </w:p>
    <w:p w:rsidR="0046545C" w:rsidRDefault="0046545C" w:rsidP="0046545C">
      <w:pPr>
        <w:pStyle w:val="Ttulo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21EE1" w:rsidRPr="00E21EE1" w:rsidRDefault="00E21EE1" w:rsidP="00214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E1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A7A94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proposição ora em análise</w:t>
      </w:r>
      <w:r w:rsidRPr="001A7A94">
        <w:rPr>
          <w:rFonts w:ascii="Times New Roman" w:hAnsi="Times New Roman" w:cs="Times New Roman"/>
          <w:sz w:val="24"/>
          <w:szCs w:val="24"/>
        </w:rPr>
        <w:t xml:space="preserve"> visa conferir suporte normativo </w:t>
      </w:r>
      <w:proofErr w:type="gramStart"/>
      <w:r w:rsidRPr="001A7A94">
        <w:rPr>
          <w:rFonts w:ascii="Times New Roman" w:hAnsi="Times New Roman" w:cs="Times New Roman"/>
          <w:sz w:val="24"/>
          <w:szCs w:val="24"/>
        </w:rPr>
        <w:t>às medidas que</w:t>
      </w:r>
      <w:proofErr w:type="gramEnd"/>
      <w:r w:rsidRPr="001A7A94">
        <w:rPr>
          <w:rFonts w:ascii="Times New Roman" w:hAnsi="Times New Roman" w:cs="Times New Roman"/>
          <w:sz w:val="24"/>
          <w:szCs w:val="24"/>
        </w:rPr>
        <w:t xml:space="preserve"> hão de ser tomadas pelo Estado </w:t>
      </w:r>
      <w:r>
        <w:rPr>
          <w:rFonts w:ascii="Times New Roman" w:hAnsi="Times New Roman" w:cs="Times New Roman"/>
          <w:sz w:val="24"/>
          <w:szCs w:val="24"/>
        </w:rPr>
        <w:t xml:space="preserve">do Maranhão </w:t>
      </w:r>
      <w:r w:rsidRPr="001A7A94">
        <w:rPr>
          <w:rFonts w:ascii="Times New Roman" w:hAnsi="Times New Roman" w:cs="Times New Roman"/>
          <w:sz w:val="24"/>
          <w:szCs w:val="24"/>
        </w:rPr>
        <w:t>em atenção ao enfrentamento do estado de calamidade pública</w:t>
      </w:r>
      <w:r>
        <w:rPr>
          <w:rFonts w:ascii="Times New Roman" w:hAnsi="Times New Roman" w:cs="Times New Roman"/>
          <w:sz w:val="24"/>
          <w:szCs w:val="24"/>
        </w:rPr>
        <w:t xml:space="preserve"> decorrente da pandemia de COVID-19, popularmente conhecida por</w:t>
      </w:r>
      <w:r w:rsidRPr="001A7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A94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1A7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A94" w:rsidRPr="001A7A94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dizer que a COVID</w:t>
      </w:r>
      <w:r w:rsidRPr="001A7A94">
        <w:rPr>
          <w:rFonts w:ascii="Times New Roman" w:hAnsi="Times New Roman" w:cs="Times New Roman"/>
          <w:sz w:val="24"/>
          <w:szCs w:val="24"/>
        </w:rPr>
        <w:t>-19 é a mais grave ameaça à saúde pública provocada por um vírus respiratório desde a pa</w:t>
      </w:r>
      <w:r>
        <w:rPr>
          <w:rFonts w:ascii="Times New Roman" w:hAnsi="Times New Roman" w:cs="Times New Roman"/>
          <w:sz w:val="24"/>
          <w:szCs w:val="24"/>
        </w:rPr>
        <w:t>ndemia de influenza H1N1</w:t>
      </w:r>
      <w:r w:rsidRPr="001A7A94">
        <w:rPr>
          <w:rFonts w:ascii="Times New Roman" w:hAnsi="Times New Roman" w:cs="Times New Roman"/>
          <w:sz w:val="24"/>
          <w:szCs w:val="24"/>
        </w:rPr>
        <w:t>. Segundo a Organizaç</w:t>
      </w:r>
      <w:r>
        <w:rPr>
          <w:rFonts w:ascii="Times New Roman" w:hAnsi="Times New Roman" w:cs="Times New Roman"/>
          <w:sz w:val="24"/>
          <w:szCs w:val="24"/>
        </w:rPr>
        <w:t>ão Mundial de Saúde, até a última semana de março de 2020, a COVID</w:t>
      </w:r>
      <w:r w:rsidRPr="001A7A94">
        <w:rPr>
          <w:rFonts w:ascii="Times New Roman" w:hAnsi="Times New Roman" w:cs="Times New Roman"/>
          <w:sz w:val="24"/>
          <w:szCs w:val="24"/>
        </w:rPr>
        <w:t>-19 teve mais de 414.179 casos confirmados (40.712 novos em relação ao dia anterior) e causou 18.440 mortes (2.202 novas em relação ao dia anterior) em 169 países de todas as regiões do mundo. Segundo o boletim epidemiológico da Secretaria de Estad</w:t>
      </w:r>
      <w:r w:rsidR="00CF0217">
        <w:rPr>
          <w:rFonts w:ascii="Times New Roman" w:hAnsi="Times New Roman" w:cs="Times New Roman"/>
          <w:sz w:val="24"/>
          <w:szCs w:val="24"/>
        </w:rPr>
        <w:t xml:space="preserve">o de Saúde, até 05de abril de 2020,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A7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Maranhão,</w:t>
      </w:r>
      <w:r w:rsidR="00CF0217">
        <w:rPr>
          <w:rFonts w:ascii="Times New Roman" w:hAnsi="Times New Roman" w:cs="Times New Roman"/>
          <w:sz w:val="24"/>
          <w:szCs w:val="24"/>
        </w:rPr>
        <w:t xml:space="preserve"> havia 1.040 casos suspeitos para COVID-19, 133 casos confirmados</w:t>
      </w:r>
      <w:r w:rsidRPr="001A7A94">
        <w:rPr>
          <w:rFonts w:ascii="Times New Roman" w:hAnsi="Times New Roman" w:cs="Times New Roman"/>
          <w:sz w:val="24"/>
          <w:szCs w:val="24"/>
        </w:rPr>
        <w:t xml:space="preserve"> e </w:t>
      </w:r>
      <w:r w:rsidR="00CF0217">
        <w:rPr>
          <w:rFonts w:ascii="Times New Roman" w:hAnsi="Times New Roman" w:cs="Times New Roman"/>
          <w:sz w:val="24"/>
          <w:szCs w:val="24"/>
        </w:rPr>
        <w:t xml:space="preserve">dois </w:t>
      </w:r>
      <w:r w:rsidRPr="001A7A94">
        <w:rPr>
          <w:rFonts w:ascii="Times New Roman" w:hAnsi="Times New Roman" w:cs="Times New Roman"/>
          <w:sz w:val="24"/>
          <w:szCs w:val="24"/>
        </w:rPr>
        <w:t>óbito</w:t>
      </w:r>
      <w:r w:rsidR="00CF0217">
        <w:rPr>
          <w:rFonts w:ascii="Times New Roman" w:hAnsi="Times New Roman" w:cs="Times New Roman"/>
          <w:sz w:val="24"/>
          <w:szCs w:val="24"/>
        </w:rPr>
        <w:t>s</w:t>
      </w:r>
      <w:r w:rsidRPr="001A7A94">
        <w:rPr>
          <w:rFonts w:ascii="Times New Roman" w:hAnsi="Times New Roman" w:cs="Times New Roman"/>
          <w:sz w:val="24"/>
          <w:szCs w:val="24"/>
        </w:rPr>
        <w:t>, mas há indícios de subnotificação da doença</w:t>
      </w:r>
      <w:r w:rsidR="00CF0217">
        <w:rPr>
          <w:rFonts w:ascii="Times New Roman" w:hAnsi="Times New Roman" w:cs="Times New Roman"/>
          <w:sz w:val="24"/>
          <w:szCs w:val="24"/>
        </w:rPr>
        <w:t>, considerando que nem todas as pessoas infectadas apresentam sintomas e, por isso, não procuram atendimento médico, mas transmitem o vírus para outros</w:t>
      </w:r>
      <w:r w:rsidRPr="001A7A94">
        <w:rPr>
          <w:rFonts w:ascii="Times New Roman" w:hAnsi="Times New Roman" w:cs="Times New Roman"/>
          <w:sz w:val="24"/>
          <w:szCs w:val="24"/>
        </w:rPr>
        <w:t>. Esse contexto impõe a necessidade de adotar medidas para conter a proliferação da doença e baixar as curvas de propagação, com vistas a permitir que o sistema de saúde responda com qualidade aos novos infectados.</w:t>
      </w:r>
    </w:p>
    <w:p w:rsidR="00CF0217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A94">
        <w:rPr>
          <w:rFonts w:ascii="Times New Roman" w:hAnsi="Times New Roman" w:cs="Times New Roman"/>
          <w:sz w:val="24"/>
          <w:szCs w:val="24"/>
        </w:rPr>
        <w:t>Além das medidas de combate a disseminação da doença, se faz necessário adotar um conjunto de medidas emergenciais em outras frentes. No campo administrativo, em sentido restrito, preservar a continuidade da</w:t>
      </w:r>
      <w:r w:rsidR="00CF0217">
        <w:rPr>
          <w:rFonts w:ascii="Times New Roman" w:hAnsi="Times New Roman" w:cs="Times New Roman"/>
          <w:sz w:val="24"/>
          <w:szCs w:val="24"/>
        </w:rPr>
        <w:t xml:space="preserve"> prestação de serviços públicos; n</w:t>
      </w:r>
      <w:r w:rsidRPr="001A7A94">
        <w:rPr>
          <w:rFonts w:ascii="Times New Roman" w:hAnsi="Times New Roman" w:cs="Times New Roman"/>
          <w:sz w:val="24"/>
          <w:szCs w:val="24"/>
        </w:rPr>
        <w:t xml:space="preserve">a esfera econômica, adotar providências com vistas a mitigar os prejuízos econômicos e financeiros suportados pelos setores produtivos e por toda a sociedade. Embora ainda seja cedo para avaliar os impactos da pandemia, a crise econômica atual é, no mínimo, a mais intensa </w:t>
      </w:r>
      <w:r w:rsidR="00CF0217">
        <w:rPr>
          <w:rFonts w:ascii="Times New Roman" w:hAnsi="Times New Roman" w:cs="Times New Roman"/>
          <w:sz w:val="24"/>
          <w:szCs w:val="24"/>
        </w:rPr>
        <w:t>desde a última recessão enfrentada pelo mundo, entre 2007 e 200</w:t>
      </w:r>
      <w:r w:rsidRPr="001A7A94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1A7A94" w:rsidRPr="001A7A94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A94">
        <w:rPr>
          <w:rFonts w:ascii="Times New Roman" w:hAnsi="Times New Roman" w:cs="Times New Roman"/>
          <w:sz w:val="24"/>
          <w:szCs w:val="24"/>
        </w:rPr>
        <w:lastRenderedPageBreak/>
        <w:t>O aperfeiçoamento dos instrumentos de gestão econômica pode auxiliar na atenuação dos impactos da atual crise, mas não se pode descartar, atualmente, que a crise advinda da pandemia venha mesmo</w:t>
      </w:r>
      <w:r w:rsidR="00CF0217">
        <w:rPr>
          <w:rFonts w:ascii="Times New Roman" w:hAnsi="Times New Roman" w:cs="Times New Roman"/>
          <w:sz w:val="24"/>
          <w:szCs w:val="24"/>
        </w:rPr>
        <w:t xml:space="preserve"> superar crises econômicas pretéritas</w:t>
      </w:r>
      <w:r w:rsidRPr="001A7A94">
        <w:rPr>
          <w:rFonts w:ascii="Times New Roman" w:hAnsi="Times New Roman" w:cs="Times New Roman"/>
          <w:sz w:val="24"/>
          <w:szCs w:val="24"/>
        </w:rPr>
        <w:t>. Nesse contexto, além das ações de política fiscal e monetária, que são de competência federal, o Estado tem competência para atuar de forma subsidiária, por exemplo, por meio de política tributária e de apoio a empresas, que, embora viáveis, encontrem dificuldades transitórias devido à pandemia. São também agentes econômicos relevantes, e singularmente expostos aos efeitos da crise econômica os empreendedores individuais e os trabalhadores informais, os quais dispõem de menos políticas públicas de proteção, devendo ser objeto de atenção especial.</w:t>
      </w:r>
    </w:p>
    <w:p w:rsidR="001A7A94" w:rsidRPr="001A7A94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A94">
        <w:rPr>
          <w:rFonts w:ascii="Times New Roman" w:hAnsi="Times New Roman" w:cs="Times New Roman"/>
          <w:sz w:val="24"/>
          <w:szCs w:val="24"/>
        </w:rPr>
        <w:t xml:space="preserve">A proposta em epígrafe atenta para todas essas frentes. Propicia mecanismos jurídicos que darão guarida aos órgãos de saúde estaduais a fim de que possam tomar decisões ágeis para conter a proliferação da doença e baixar </w:t>
      </w:r>
      <w:r w:rsidR="00CF0217">
        <w:rPr>
          <w:rFonts w:ascii="Times New Roman" w:hAnsi="Times New Roman" w:cs="Times New Roman"/>
          <w:sz w:val="24"/>
          <w:szCs w:val="24"/>
        </w:rPr>
        <w:t>as curvas de propagação do COVID</w:t>
      </w:r>
      <w:r w:rsidRPr="001A7A94">
        <w:rPr>
          <w:rFonts w:ascii="Times New Roman" w:hAnsi="Times New Roman" w:cs="Times New Roman"/>
          <w:sz w:val="24"/>
          <w:szCs w:val="24"/>
        </w:rPr>
        <w:t>-19, de modo que o sistema de saúde possa responder a suas demandas com qualidade.</w:t>
      </w:r>
    </w:p>
    <w:p w:rsidR="00CF0217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A94">
        <w:rPr>
          <w:rFonts w:ascii="Times New Roman" w:hAnsi="Times New Roman" w:cs="Times New Roman"/>
          <w:sz w:val="24"/>
          <w:szCs w:val="24"/>
        </w:rPr>
        <w:t>Com o fim de assegurar a continuidade da prestação dos serviços públicos, a proposição estabelece comandos que permitem manter a oferta desses serviços à coletividade ainda que diante de situações de inadimplemento, além de tratar de aspectos relativos aos agentes públicos, tais como jornada de trabalho, adoção de trabalho remoto e disciplina de procedimentos de pagamento. As medidas administrativas também incluem propostas para a criação de estruturas públicas específicas para gerir e adotar as medidas de contingência necessárias.</w:t>
      </w:r>
      <w:r w:rsidR="00CF0217">
        <w:rPr>
          <w:rFonts w:ascii="Times New Roman" w:hAnsi="Times New Roman" w:cs="Times New Roman"/>
          <w:sz w:val="24"/>
          <w:szCs w:val="24"/>
        </w:rPr>
        <w:t xml:space="preserve"> Frise-se que não há imperativos para nenhuma dessas ações, não se constituindo em obrigações ao Poder Executivo e às suas estruturas respectivas, como a Secretaria de Saúde. Por isso, inclusive, que </w:t>
      </w:r>
      <w:proofErr w:type="gramStart"/>
      <w:r w:rsidR="00CF0217">
        <w:rPr>
          <w:rFonts w:ascii="Times New Roman" w:hAnsi="Times New Roman" w:cs="Times New Roman"/>
          <w:sz w:val="24"/>
          <w:szCs w:val="24"/>
        </w:rPr>
        <w:t>optou-se</w:t>
      </w:r>
      <w:proofErr w:type="gramEnd"/>
      <w:r w:rsidR="00CF0217">
        <w:rPr>
          <w:rFonts w:ascii="Times New Roman" w:hAnsi="Times New Roman" w:cs="Times New Roman"/>
          <w:sz w:val="24"/>
          <w:szCs w:val="24"/>
        </w:rPr>
        <w:t xml:space="preserve"> em editar </w:t>
      </w:r>
      <w:r w:rsidR="00CF0217" w:rsidRPr="00CF0217">
        <w:rPr>
          <w:rFonts w:ascii="Times New Roman" w:hAnsi="Times New Roman" w:cs="Times New Roman"/>
          <w:b/>
          <w:sz w:val="24"/>
          <w:szCs w:val="24"/>
        </w:rPr>
        <w:t>DIRETRIZES</w:t>
      </w:r>
      <w:r w:rsidR="00CF0217">
        <w:rPr>
          <w:rFonts w:ascii="Times New Roman" w:hAnsi="Times New Roman" w:cs="Times New Roman"/>
          <w:sz w:val="24"/>
          <w:szCs w:val="24"/>
        </w:rPr>
        <w:t xml:space="preserve">, que se constituem em planos a serem executados ou não pelos entes ou órgãos competentes. </w:t>
      </w:r>
      <w:r w:rsidR="00E602D5">
        <w:rPr>
          <w:rFonts w:ascii="Times New Roman" w:hAnsi="Times New Roman" w:cs="Times New Roman"/>
          <w:sz w:val="24"/>
          <w:szCs w:val="24"/>
        </w:rPr>
        <w:t xml:space="preserve">Cumpre observar que as medidas dispostas neste projeto de lei estão em consonância com o Plano de Contingência do </w:t>
      </w:r>
      <w:proofErr w:type="spellStart"/>
      <w:r w:rsidR="00E602D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E602D5">
        <w:rPr>
          <w:rFonts w:ascii="Times New Roman" w:hAnsi="Times New Roman" w:cs="Times New Roman"/>
          <w:sz w:val="24"/>
          <w:szCs w:val="24"/>
        </w:rPr>
        <w:t>, elaborado pela Secretaria de Estado da Saúde do Maranhão.</w:t>
      </w:r>
    </w:p>
    <w:p w:rsidR="00CF0217" w:rsidRPr="001A7A94" w:rsidRDefault="00CF0217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Sabe-se que a competência legislativa dos parlamentares estaduais é </w:t>
      </w:r>
      <w:proofErr w:type="gramStart"/>
      <w:r>
        <w:rPr>
          <w:rFonts w:ascii="Times New Roman" w:hAnsi="Times New Roman" w:cs="Times New Roman"/>
          <w:sz w:val="24"/>
          <w:szCs w:val="24"/>
        </w:rPr>
        <w:t>reduzida</w:t>
      </w:r>
      <w:proofErr w:type="gramEnd"/>
      <w:r>
        <w:rPr>
          <w:rFonts w:ascii="Times New Roman" w:hAnsi="Times New Roman" w:cs="Times New Roman"/>
          <w:sz w:val="24"/>
          <w:szCs w:val="24"/>
        </w:rPr>
        <w:t>, mas isso não pode significar inércia da Assembleia Legislativa ante uma crise global e que pode causar perdas irreparáveis a vidas maranhenses.</w:t>
      </w:r>
    </w:p>
    <w:p w:rsidR="001A7A94" w:rsidRPr="001A7A94" w:rsidRDefault="00CF0217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7A94" w:rsidRPr="001A7A94">
        <w:rPr>
          <w:rFonts w:ascii="Times New Roman" w:hAnsi="Times New Roman" w:cs="Times New Roman"/>
          <w:sz w:val="24"/>
          <w:szCs w:val="24"/>
        </w:rPr>
        <w:t>s medidas previstas no projeto são extremamente importantes e necessárias para auxiliar, em vários aspectos, o Estado</w:t>
      </w:r>
      <w:r>
        <w:rPr>
          <w:rFonts w:ascii="Times New Roman" w:hAnsi="Times New Roman" w:cs="Times New Roman"/>
          <w:sz w:val="24"/>
          <w:szCs w:val="24"/>
        </w:rPr>
        <w:t xml:space="preserve"> do Maranhão</w:t>
      </w:r>
      <w:r w:rsidR="001A7A94" w:rsidRPr="001A7A94">
        <w:rPr>
          <w:rFonts w:ascii="Times New Roman" w:hAnsi="Times New Roman" w:cs="Times New Roman"/>
          <w:sz w:val="24"/>
          <w:szCs w:val="24"/>
        </w:rPr>
        <w:t xml:space="preserve"> e sua população a enfrentar com mais segurança </w:t>
      </w:r>
      <w:r>
        <w:rPr>
          <w:rFonts w:ascii="Times New Roman" w:hAnsi="Times New Roman" w:cs="Times New Roman"/>
          <w:sz w:val="24"/>
          <w:szCs w:val="24"/>
        </w:rPr>
        <w:t>e eficiência a pandemia da COVID</w:t>
      </w:r>
      <w:r w:rsidR="001A7A94" w:rsidRPr="001A7A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19. Por isso, sustentamos o i</w:t>
      </w:r>
      <w:r w:rsidR="001A7A94" w:rsidRPr="001A7A94">
        <w:rPr>
          <w:rFonts w:ascii="Times New Roman" w:hAnsi="Times New Roman" w:cs="Times New Roman"/>
          <w:sz w:val="24"/>
          <w:szCs w:val="24"/>
        </w:rPr>
        <w:t>negável alcance social</w:t>
      </w:r>
      <w:r>
        <w:rPr>
          <w:rFonts w:ascii="Times New Roman" w:hAnsi="Times New Roman" w:cs="Times New Roman"/>
          <w:sz w:val="24"/>
          <w:szCs w:val="24"/>
        </w:rPr>
        <w:t xml:space="preserve"> deste projeto de lei</w:t>
      </w:r>
      <w:r w:rsidR="001A7A94" w:rsidRPr="001A7A94">
        <w:rPr>
          <w:rFonts w:ascii="Times New Roman" w:hAnsi="Times New Roman" w:cs="Times New Roman"/>
          <w:sz w:val="24"/>
          <w:szCs w:val="24"/>
        </w:rPr>
        <w:t>.</w:t>
      </w:r>
    </w:p>
    <w:p w:rsidR="001A7A94" w:rsidRDefault="00CF0217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aos </w:t>
      </w:r>
      <w:r w:rsidR="001A7A94" w:rsidRPr="001A7A94">
        <w:rPr>
          <w:rFonts w:ascii="Times New Roman" w:hAnsi="Times New Roman" w:cs="Times New Roman"/>
          <w:sz w:val="24"/>
          <w:szCs w:val="24"/>
        </w:rPr>
        <w:t xml:space="preserve">aspectos jurídico-constitucionais, </w:t>
      </w:r>
      <w:r>
        <w:rPr>
          <w:rFonts w:ascii="Times New Roman" w:hAnsi="Times New Roman" w:cs="Times New Roman"/>
          <w:sz w:val="24"/>
          <w:szCs w:val="24"/>
        </w:rPr>
        <w:t>não há que se falar em óbices à sua tramitação. Afinal, o projeto apresentado</w:t>
      </w:r>
      <w:r w:rsidR="001A7A94" w:rsidRPr="001A7A94">
        <w:rPr>
          <w:rFonts w:ascii="Times New Roman" w:hAnsi="Times New Roman" w:cs="Times New Roman"/>
          <w:sz w:val="24"/>
          <w:szCs w:val="24"/>
        </w:rPr>
        <w:t xml:space="preserve"> envolve matéria de direito administrativo, tributário, financeiro, econômico, proteção e defesa da saúde, produção e consumo, temáticas sobre as quais o Estado está autorizado a legislar por força do princípio da autonomia dos entes federativos, inserto no art. 18 da C</w:t>
      </w:r>
      <w:bookmarkStart w:id="0" w:name="_GoBack"/>
      <w:bookmarkEnd w:id="0"/>
      <w:r w:rsidR="001A7A94" w:rsidRPr="001A7A94">
        <w:rPr>
          <w:rFonts w:ascii="Times New Roman" w:hAnsi="Times New Roman" w:cs="Times New Roman"/>
          <w:sz w:val="24"/>
          <w:szCs w:val="24"/>
        </w:rPr>
        <w:t>onstituição da República, combinado notadamente com os incisos I, V, VIII, IX, XI e XII do</w:t>
      </w:r>
      <w:r>
        <w:rPr>
          <w:rFonts w:ascii="Times New Roman" w:hAnsi="Times New Roman" w:cs="Times New Roman"/>
          <w:sz w:val="24"/>
          <w:szCs w:val="24"/>
        </w:rPr>
        <w:t xml:space="preserve"> art. 24 da mesma Constituição: </w:t>
      </w:r>
    </w:p>
    <w:p w:rsidR="00CF0217" w:rsidRPr="00BB5FC1" w:rsidRDefault="00CF0217" w:rsidP="00CF0217">
      <w:pPr>
        <w:spacing w:line="36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FC1">
        <w:rPr>
          <w:rFonts w:ascii="Times New Roman" w:hAnsi="Times New Roman" w:cs="Times New Roman"/>
          <w:b/>
          <w:sz w:val="20"/>
          <w:szCs w:val="20"/>
        </w:rPr>
        <w:t>Constituição Federal de 1988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Art. 24 – Compete à União, aos Estados e ao Distrito Federal legislar concorrentemente sobre:</w:t>
      </w:r>
    </w:p>
    <w:p w:rsidR="00BB5FC1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I - direito tributário, financeiro, penitenciário, econômico e urbanístico;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(...)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V – produção e consumo;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(...)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VIII – responsabilidade por dano ao meio ambiente, ao consumidor, a bens e direitos de valor artístico, estético, histórico, turístico e paisagístico;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IX – educação, cultura, ensino, desporto,</w:t>
      </w:r>
      <w:r w:rsidR="00CF0217">
        <w:rPr>
          <w:rFonts w:ascii="Times New Roman" w:hAnsi="Times New Roman" w:cs="Times New Roman"/>
          <w:sz w:val="20"/>
          <w:szCs w:val="20"/>
        </w:rPr>
        <w:t xml:space="preserve"> ciência, tecnologia, pesquisa, </w:t>
      </w:r>
      <w:r w:rsidRPr="00CF0217">
        <w:rPr>
          <w:rFonts w:ascii="Times New Roman" w:hAnsi="Times New Roman" w:cs="Times New Roman"/>
          <w:sz w:val="20"/>
          <w:szCs w:val="20"/>
        </w:rPr>
        <w:t>desenvolvimento e inovação;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(...)</w:t>
      </w:r>
    </w:p>
    <w:p w:rsidR="001A7A94" w:rsidRPr="00CF0217" w:rsidRDefault="001A7A94" w:rsidP="00BB5F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XI – procedimentos em matéria processual;</w:t>
      </w:r>
    </w:p>
    <w:p w:rsidR="001A7A94" w:rsidRPr="00CF0217" w:rsidRDefault="001A7A94" w:rsidP="00BB5FC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0217">
        <w:rPr>
          <w:rFonts w:ascii="Times New Roman" w:hAnsi="Times New Roman" w:cs="Times New Roman"/>
          <w:sz w:val="20"/>
          <w:szCs w:val="20"/>
        </w:rPr>
        <w:t>XII – previdência soci</w:t>
      </w:r>
      <w:r w:rsidR="00CF0217">
        <w:rPr>
          <w:rFonts w:ascii="Times New Roman" w:hAnsi="Times New Roman" w:cs="Times New Roman"/>
          <w:sz w:val="20"/>
          <w:szCs w:val="20"/>
        </w:rPr>
        <w:t>al, proteção e defesa da saúde</w:t>
      </w:r>
      <w:r w:rsidRPr="00CF0217">
        <w:rPr>
          <w:rFonts w:ascii="Times New Roman" w:hAnsi="Times New Roman" w:cs="Times New Roman"/>
          <w:sz w:val="20"/>
          <w:szCs w:val="20"/>
        </w:rPr>
        <w:t>.</w:t>
      </w:r>
    </w:p>
    <w:p w:rsidR="00BB5FC1" w:rsidRDefault="001A7A94" w:rsidP="00BB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A94">
        <w:rPr>
          <w:rFonts w:ascii="Times New Roman" w:hAnsi="Times New Roman" w:cs="Times New Roman"/>
          <w:sz w:val="24"/>
          <w:szCs w:val="24"/>
        </w:rPr>
        <w:t xml:space="preserve">Quanto ao aspecto da iniciativa, não </w:t>
      </w:r>
      <w:r w:rsidR="00BB5FC1">
        <w:rPr>
          <w:rFonts w:ascii="Times New Roman" w:hAnsi="Times New Roman" w:cs="Times New Roman"/>
          <w:sz w:val="24"/>
          <w:szCs w:val="24"/>
        </w:rPr>
        <w:t xml:space="preserve">se verifica nenhum </w:t>
      </w:r>
      <w:r w:rsidRPr="001A7A94">
        <w:rPr>
          <w:rFonts w:ascii="Times New Roman" w:hAnsi="Times New Roman" w:cs="Times New Roman"/>
          <w:sz w:val="24"/>
          <w:szCs w:val="24"/>
        </w:rPr>
        <w:t>vício, já que as matérias em questão não se encontram inseridas no rol taxativo previsto no ar</w:t>
      </w:r>
      <w:r w:rsidR="00BB5FC1">
        <w:rPr>
          <w:rFonts w:ascii="Times New Roman" w:hAnsi="Times New Roman" w:cs="Times New Roman"/>
          <w:sz w:val="24"/>
          <w:szCs w:val="24"/>
        </w:rPr>
        <w:t>t. 43 da Constituição do Estado do Maranhão</w:t>
      </w:r>
      <w:r w:rsidRPr="001A7A94">
        <w:rPr>
          <w:rFonts w:ascii="Times New Roman" w:hAnsi="Times New Roman" w:cs="Times New Roman"/>
          <w:sz w:val="24"/>
          <w:szCs w:val="24"/>
        </w:rPr>
        <w:t>, razão pela qual não há óbice para a deflagração do processo legislativo por iniciativa parlamentar.</w:t>
      </w:r>
      <w:r w:rsidR="00BB5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A2" w:rsidRDefault="001A7A94" w:rsidP="00BB5FC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</w:t>
      </w:r>
      <w:r w:rsidR="009C1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conto</w:t>
      </w:r>
      <w:r w:rsidR="00FE6F03">
        <w:rPr>
          <w:rFonts w:ascii="Times New Roman" w:hAnsi="Times New Roman" w:cs="Times New Roman"/>
          <w:sz w:val="24"/>
          <w:szCs w:val="24"/>
        </w:rPr>
        <w:t xml:space="preserve"> com a colaboração d</w:t>
      </w:r>
      <w:r w:rsidR="002147DD">
        <w:rPr>
          <w:rFonts w:ascii="Times New Roman" w:hAnsi="Times New Roman" w:cs="Times New Roman"/>
          <w:sz w:val="24"/>
          <w:szCs w:val="24"/>
        </w:rPr>
        <w:t>o</w:t>
      </w:r>
      <w:r w:rsidR="00FE6F03">
        <w:rPr>
          <w:rFonts w:ascii="Times New Roman" w:hAnsi="Times New Roman" w:cs="Times New Roman"/>
          <w:sz w:val="24"/>
          <w:szCs w:val="24"/>
        </w:rPr>
        <w:t>s nobríssimos pares para aprova</w:t>
      </w:r>
      <w:r w:rsidR="002147DD">
        <w:rPr>
          <w:rFonts w:ascii="Times New Roman" w:hAnsi="Times New Roman" w:cs="Times New Roman"/>
          <w:sz w:val="24"/>
          <w:szCs w:val="24"/>
        </w:rPr>
        <w:t xml:space="preserve">ção de relevante proposição. </w:t>
      </w:r>
      <w:r w:rsidR="00FE6F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A5722" w:rsidRPr="00FE6F03" w:rsidRDefault="00FE6F03" w:rsidP="00BB5FC1">
      <w:pPr>
        <w:spacing w:before="240" w:after="0" w:line="240" w:lineRule="auto"/>
        <w:jc w:val="center"/>
        <w:rPr>
          <w:sz w:val="20"/>
          <w:szCs w:val="20"/>
        </w:rPr>
      </w:pPr>
      <w:r w:rsidRPr="00FE6F03">
        <w:rPr>
          <w:rFonts w:ascii="Times New Roman" w:hAnsi="Times New Roman" w:cs="Times New Roman"/>
          <w:b/>
          <w:sz w:val="24"/>
          <w:szCs w:val="24"/>
        </w:rPr>
        <w:lastRenderedPageBreak/>
        <w:t>DR. YGLÉSIO</w:t>
      </w:r>
      <w:r w:rsidR="009C1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8A2">
        <w:rPr>
          <w:rFonts w:ascii="Times New Roman" w:hAnsi="Times New Roman" w:cs="Times New Roman"/>
          <w:b/>
          <w:sz w:val="24"/>
          <w:szCs w:val="24"/>
        </w:rPr>
        <w:br/>
      </w:r>
      <w:r w:rsidRPr="00FE6F03">
        <w:rPr>
          <w:rFonts w:ascii="Times New Roman" w:hAnsi="Times New Roman" w:cs="Times New Roman"/>
          <w:b/>
          <w:sz w:val="20"/>
          <w:szCs w:val="20"/>
        </w:rPr>
        <w:t>DEPUTADO ESTADUAL</w:t>
      </w:r>
    </w:p>
    <w:sectPr w:rsidR="00BA5722" w:rsidRPr="00FE6F03" w:rsidSect="00542415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BE" w:rsidRDefault="00CA56BE" w:rsidP="00E660E2">
      <w:pPr>
        <w:spacing w:after="0" w:line="240" w:lineRule="auto"/>
      </w:pPr>
      <w:r>
        <w:separator/>
      </w:r>
    </w:p>
  </w:endnote>
  <w:endnote w:type="continuationSeparator" w:id="0">
    <w:p w:rsidR="00CA56BE" w:rsidRDefault="00CA56BE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BE" w:rsidRDefault="00CA56BE" w:rsidP="00E660E2">
      <w:pPr>
        <w:spacing w:after="0" w:line="240" w:lineRule="auto"/>
      </w:pPr>
      <w:r>
        <w:separator/>
      </w:r>
    </w:p>
  </w:footnote>
  <w:footnote w:type="continuationSeparator" w:id="0">
    <w:p w:rsidR="00CA56BE" w:rsidRDefault="00CA56BE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30" w:rsidRDefault="007A773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6420C0F2" wp14:editId="5796F31B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7730" w:rsidRPr="00A20743" w:rsidRDefault="007A773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  <w:r w:rsidRPr="00A20743">
      <w:rPr>
        <w:rFonts w:ascii="Times New Roman" w:hAnsi="Times New Roman" w:cs="Times New Roman"/>
        <w:b/>
        <w:sz w:val="24"/>
        <w:szCs w:val="24"/>
      </w:rPr>
      <w:br/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7A7730" w:rsidRDefault="007A77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84"/>
    <w:rsid w:val="000013D2"/>
    <w:rsid w:val="000057BA"/>
    <w:rsid w:val="00007945"/>
    <w:rsid w:val="00007D55"/>
    <w:rsid w:val="0003404B"/>
    <w:rsid w:val="000344A8"/>
    <w:rsid w:val="00035584"/>
    <w:rsid w:val="00072A0E"/>
    <w:rsid w:val="000741E7"/>
    <w:rsid w:val="000943E3"/>
    <w:rsid w:val="000C7554"/>
    <w:rsid w:val="000D56A1"/>
    <w:rsid w:val="000E0BD4"/>
    <w:rsid w:val="000E65EB"/>
    <w:rsid w:val="00122F4C"/>
    <w:rsid w:val="00131F79"/>
    <w:rsid w:val="00183E1D"/>
    <w:rsid w:val="00184FAE"/>
    <w:rsid w:val="001A7A94"/>
    <w:rsid w:val="001A7FD0"/>
    <w:rsid w:val="001B33EA"/>
    <w:rsid w:val="001C1C6C"/>
    <w:rsid w:val="001E49CB"/>
    <w:rsid w:val="00200CC3"/>
    <w:rsid w:val="00204D9F"/>
    <w:rsid w:val="002147DD"/>
    <w:rsid w:val="00264292"/>
    <w:rsid w:val="00275C3F"/>
    <w:rsid w:val="00292FA3"/>
    <w:rsid w:val="00294384"/>
    <w:rsid w:val="002A60FD"/>
    <w:rsid w:val="002A6E6B"/>
    <w:rsid w:val="002E638F"/>
    <w:rsid w:val="002F5193"/>
    <w:rsid w:val="00304759"/>
    <w:rsid w:val="00312DC8"/>
    <w:rsid w:val="00326BC8"/>
    <w:rsid w:val="0034798E"/>
    <w:rsid w:val="00351AB8"/>
    <w:rsid w:val="00387F25"/>
    <w:rsid w:val="00396326"/>
    <w:rsid w:val="003A2D8A"/>
    <w:rsid w:val="003E71A2"/>
    <w:rsid w:val="004263B0"/>
    <w:rsid w:val="00433762"/>
    <w:rsid w:val="00437BEE"/>
    <w:rsid w:val="00440FA9"/>
    <w:rsid w:val="0046545C"/>
    <w:rsid w:val="00497E00"/>
    <w:rsid w:val="00542415"/>
    <w:rsid w:val="005446EB"/>
    <w:rsid w:val="0055470D"/>
    <w:rsid w:val="00591214"/>
    <w:rsid w:val="005B148B"/>
    <w:rsid w:val="005B1BD3"/>
    <w:rsid w:val="005C43E3"/>
    <w:rsid w:val="005D0515"/>
    <w:rsid w:val="005F14DF"/>
    <w:rsid w:val="005F63AD"/>
    <w:rsid w:val="00601C47"/>
    <w:rsid w:val="006314B9"/>
    <w:rsid w:val="00665FFE"/>
    <w:rsid w:val="006C2820"/>
    <w:rsid w:val="0073482B"/>
    <w:rsid w:val="00736710"/>
    <w:rsid w:val="00754ABD"/>
    <w:rsid w:val="00772D82"/>
    <w:rsid w:val="00781FAC"/>
    <w:rsid w:val="00790152"/>
    <w:rsid w:val="00791DE6"/>
    <w:rsid w:val="007A2CD4"/>
    <w:rsid w:val="007A44F6"/>
    <w:rsid w:val="007A7730"/>
    <w:rsid w:val="007D201D"/>
    <w:rsid w:val="007D283E"/>
    <w:rsid w:val="007D5954"/>
    <w:rsid w:val="007F18A2"/>
    <w:rsid w:val="00811047"/>
    <w:rsid w:val="0081388B"/>
    <w:rsid w:val="00821C48"/>
    <w:rsid w:val="00830FCD"/>
    <w:rsid w:val="0084397C"/>
    <w:rsid w:val="00845011"/>
    <w:rsid w:val="00854925"/>
    <w:rsid w:val="008838E2"/>
    <w:rsid w:val="00885EE7"/>
    <w:rsid w:val="0089123D"/>
    <w:rsid w:val="008A0FB5"/>
    <w:rsid w:val="008D193C"/>
    <w:rsid w:val="008D22C8"/>
    <w:rsid w:val="00905193"/>
    <w:rsid w:val="009418F5"/>
    <w:rsid w:val="009552A7"/>
    <w:rsid w:val="00963EC0"/>
    <w:rsid w:val="00965FA0"/>
    <w:rsid w:val="009671B6"/>
    <w:rsid w:val="00971786"/>
    <w:rsid w:val="009C18CA"/>
    <w:rsid w:val="00A37F30"/>
    <w:rsid w:val="00A5427F"/>
    <w:rsid w:val="00A66ADC"/>
    <w:rsid w:val="00A715BA"/>
    <w:rsid w:val="00A765DF"/>
    <w:rsid w:val="00AB6615"/>
    <w:rsid w:val="00AD31C9"/>
    <w:rsid w:val="00AD4A99"/>
    <w:rsid w:val="00B23402"/>
    <w:rsid w:val="00B840BA"/>
    <w:rsid w:val="00B84605"/>
    <w:rsid w:val="00B86FDD"/>
    <w:rsid w:val="00BA01A0"/>
    <w:rsid w:val="00BA5722"/>
    <w:rsid w:val="00BB555C"/>
    <w:rsid w:val="00BB5FC1"/>
    <w:rsid w:val="00BC4B5E"/>
    <w:rsid w:val="00BE705A"/>
    <w:rsid w:val="00C37147"/>
    <w:rsid w:val="00C57485"/>
    <w:rsid w:val="00C70639"/>
    <w:rsid w:val="00C73D5A"/>
    <w:rsid w:val="00C767D6"/>
    <w:rsid w:val="00C82730"/>
    <w:rsid w:val="00CA56BE"/>
    <w:rsid w:val="00CA5C17"/>
    <w:rsid w:val="00CD1C61"/>
    <w:rsid w:val="00CF0217"/>
    <w:rsid w:val="00D341F7"/>
    <w:rsid w:val="00D5142A"/>
    <w:rsid w:val="00D57E42"/>
    <w:rsid w:val="00D61739"/>
    <w:rsid w:val="00D65AC6"/>
    <w:rsid w:val="00D86439"/>
    <w:rsid w:val="00D90242"/>
    <w:rsid w:val="00D954D4"/>
    <w:rsid w:val="00DA2BC9"/>
    <w:rsid w:val="00DA3039"/>
    <w:rsid w:val="00DA3CA3"/>
    <w:rsid w:val="00E179FD"/>
    <w:rsid w:val="00E21EE1"/>
    <w:rsid w:val="00E44637"/>
    <w:rsid w:val="00E45550"/>
    <w:rsid w:val="00E51034"/>
    <w:rsid w:val="00E602D5"/>
    <w:rsid w:val="00E660E2"/>
    <w:rsid w:val="00E76BBD"/>
    <w:rsid w:val="00EA394C"/>
    <w:rsid w:val="00EC4592"/>
    <w:rsid w:val="00ED36CA"/>
    <w:rsid w:val="00EE520E"/>
    <w:rsid w:val="00F075C2"/>
    <w:rsid w:val="00F51263"/>
    <w:rsid w:val="00F80C93"/>
    <w:rsid w:val="00FB1A9F"/>
    <w:rsid w:val="00FC332B"/>
    <w:rsid w:val="00FE10B9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A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A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AF60-95EF-4668-BEB8-5FBF02B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3781</Words>
  <Characters>20422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Mylla Sampaio</cp:lastModifiedBy>
  <cp:revision>3</cp:revision>
  <dcterms:created xsi:type="dcterms:W3CDTF">2020-04-06T16:40:00Z</dcterms:created>
  <dcterms:modified xsi:type="dcterms:W3CDTF">2020-04-06T18:07:00Z</dcterms:modified>
</cp:coreProperties>
</file>