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0C46DD8B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</w:t>
      </w:r>
      <w:r w:rsidR="00CC23E1">
        <w:rPr>
          <w:rFonts w:ascii="Times New Roman" w:hAnsi="Times New Roman" w:cs="Times New Roman"/>
          <w:b/>
          <w:sz w:val="24"/>
          <w:szCs w:val="24"/>
        </w:rPr>
        <w:t>20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100F952B" w14:textId="0A1ED934" w:rsidR="00CC23E1" w:rsidRDefault="00910835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E35F5C">
        <w:rPr>
          <w:rFonts w:ascii="Times New Roman" w:hAnsi="Times New Roman" w:cs="Times New Roman"/>
          <w:sz w:val="24"/>
          <w:szCs w:val="24"/>
        </w:rPr>
        <w:t xml:space="preserve"> </w:t>
      </w:r>
      <w:r w:rsidR="00290B66">
        <w:rPr>
          <w:rFonts w:ascii="Times New Roman" w:hAnsi="Times New Roman" w:cs="Times New Roman"/>
          <w:sz w:val="24"/>
          <w:szCs w:val="24"/>
        </w:rPr>
        <w:t xml:space="preserve">ao </w:t>
      </w:r>
      <w:r w:rsidR="00E90FE6">
        <w:rPr>
          <w:rFonts w:ascii="Times New Roman" w:hAnsi="Times New Roman" w:cs="Times New Roman"/>
          <w:sz w:val="24"/>
          <w:szCs w:val="24"/>
        </w:rPr>
        <w:t>Governador do Maranhão</w:t>
      </w:r>
      <w:r w:rsidR="00E35F5C">
        <w:rPr>
          <w:rFonts w:ascii="Times New Roman" w:hAnsi="Times New Roman" w:cs="Times New Roman"/>
          <w:sz w:val="24"/>
          <w:szCs w:val="24"/>
        </w:rPr>
        <w:t>,</w:t>
      </w:r>
      <w:r w:rsidR="00E90FE6">
        <w:rPr>
          <w:rFonts w:ascii="Times New Roman" w:hAnsi="Times New Roman" w:cs="Times New Roman"/>
          <w:sz w:val="24"/>
          <w:szCs w:val="24"/>
        </w:rPr>
        <w:t xml:space="preserve"> </w:t>
      </w:r>
      <w:r w:rsidR="00E90FE6" w:rsidRPr="00E90FE6">
        <w:rPr>
          <w:rFonts w:ascii="Times New Roman" w:hAnsi="Times New Roman" w:cs="Times New Roman"/>
          <w:b/>
          <w:sz w:val="24"/>
          <w:szCs w:val="24"/>
        </w:rPr>
        <w:t>Flávio Dino</w:t>
      </w:r>
      <w:r w:rsidR="00E90FE6">
        <w:rPr>
          <w:rFonts w:ascii="Times New Roman" w:hAnsi="Times New Roman" w:cs="Times New Roman"/>
          <w:sz w:val="24"/>
          <w:szCs w:val="24"/>
        </w:rPr>
        <w:t>,</w:t>
      </w:r>
      <w:r w:rsidR="00E35F5C">
        <w:rPr>
          <w:rFonts w:ascii="Times New Roman" w:hAnsi="Times New Roman" w:cs="Times New Roman"/>
          <w:sz w:val="24"/>
          <w:szCs w:val="24"/>
        </w:rPr>
        <w:t xml:space="preserve"> </w:t>
      </w:r>
      <w:r w:rsidR="008E46A5">
        <w:rPr>
          <w:rFonts w:ascii="Times New Roman" w:hAnsi="Times New Roman" w:cs="Times New Roman"/>
          <w:sz w:val="24"/>
          <w:szCs w:val="24"/>
        </w:rPr>
        <w:t xml:space="preserve">urgência no envio das respostas e no atendimento do pleito enviado atrás de carta (ANEXO) </w:t>
      </w:r>
      <w:r w:rsidR="00B57A52">
        <w:rPr>
          <w:rFonts w:ascii="Times New Roman" w:hAnsi="Times New Roman" w:cs="Times New Roman"/>
          <w:sz w:val="24"/>
          <w:szCs w:val="24"/>
        </w:rPr>
        <w:t>assinada pela Associação Comercial do Maranhão, Associação dos Jovens Empresários do Maranhão, Câmara de dirigentes Lojistas de São Luís e a Federação do Comercio de Bens e Serviços e Turismo do Estado do Maranhão com propostas de apoio aos setores de comércio e serviços, que são:</w:t>
      </w:r>
    </w:p>
    <w:p w14:paraId="13973E0A" w14:textId="77777777" w:rsidR="00CC23E1" w:rsidRDefault="00CC23E1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73FC6" w14:textId="3AE16ACF" w:rsidR="00B57A52" w:rsidRPr="00B57A52" w:rsidRDefault="00B57A52" w:rsidP="00B57A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52">
        <w:rPr>
          <w:rFonts w:ascii="Times New Roman" w:hAnsi="Times New Roman" w:cs="Times New Roman"/>
          <w:sz w:val="24"/>
          <w:szCs w:val="24"/>
        </w:rPr>
        <w:t>1. Ampliação do prazo de pagamento dos tributos estaduais, incluindo o ICMS devido pelas empresas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optantes pelo Simples Nacional referentes ao mês de março e aos 3 (três) meses subsequentes ao mês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de retomada do funcionamento das empresas de todos os segmentos. Após este período, que seja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concedido parcelamento dos tributos devidos neste período pelo prazo de 12 (doze) sem aplicação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de multa e juros;</w:t>
      </w:r>
    </w:p>
    <w:p w14:paraId="2345B1A6" w14:textId="277DD427" w:rsidR="00B57A52" w:rsidRPr="00B57A52" w:rsidRDefault="00B57A52" w:rsidP="00B57A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52">
        <w:rPr>
          <w:rFonts w:ascii="Times New Roman" w:hAnsi="Times New Roman" w:cs="Times New Roman"/>
          <w:sz w:val="24"/>
          <w:szCs w:val="24"/>
        </w:rPr>
        <w:t>2. Renegociação dos débitos fiscais das empresas, abrangendo apenas o valor do tributo (principal),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com exclusão de multas, juros correção monetária e demais encargos legais, com parcelamento em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até 120 (cento e vinte) parcelas, sendo a primeira parcela com data de vencimento em 31.01.2021;</w:t>
      </w:r>
    </w:p>
    <w:p w14:paraId="6FFFB9EF" w14:textId="5B63CE35" w:rsidR="00B57A52" w:rsidRPr="00B57A52" w:rsidRDefault="00B57A52" w:rsidP="00B57A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52">
        <w:rPr>
          <w:rFonts w:ascii="Times New Roman" w:hAnsi="Times New Roman" w:cs="Times New Roman"/>
          <w:sz w:val="24"/>
          <w:szCs w:val="24"/>
        </w:rPr>
        <w:t>3. Inclusão de todos os débitos refinanciados contratados e em curso, com redução de 50% (cinquenta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por cento) do valor confessado, abrangendo multas, juros, correção monetária e demais encargos, na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renegociação proposta no item anterior;</w:t>
      </w:r>
    </w:p>
    <w:p w14:paraId="201457E0" w14:textId="2D21119B" w:rsidR="00B57A52" w:rsidRDefault="00B57A52" w:rsidP="00B57A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52">
        <w:rPr>
          <w:rFonts w:ascii="Times New Roman" w:hAnsi="Times New Roman" w:cs="Times New Roman"/>
          <w:sz w:val="24"/>
          <w:szCs w:val="24"/>
        </w:rPr>
        <w:t xml:space="preserve">4. Redução, respeitando as bases de arrecadação estadual, dos tributos </w:t>
      </w:r>
      <w:r w:rsidR="007C3DD1">
        <w:rPr>
          <w:rFonts w:ascii="Times New Roman" w:hAnsi="Times New Roman" w:cs="Times New Roman"/>
          <w:sz w:val="24"/>
          <w:szCs w:val="24"/>
        </w:rPr>
        <w:t>incidentes</w:t>
      </w:r>
      <w:r w:rsidRPr="00B57A52">
        <w:rPr>
          <w:rFonts w:ascii="Times New Roman" w:hAnsi="Times New Roman" w:cs="Times New Roman"/>
          <w:sz w:val="24"/>
          <w:szCs w:val="24"/>
        </w:rPr>
        <w:t xml:space="preserve"> sobre concessões de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serviços essenciais (energia elétrica, transportes</w:t>
      </w:r>
      <w:proofErr w:type="gramStart"/>
      <w:r w:rsidRPr="00B57A52">
        <w:rPr>
          <w:rFonts w:ascii="Times New Roman" w:hAnsi="Times New Roman" w:cs="Times New Roman"/>
          <w:sz w:val="24"/>
          <w:szCs w:val="24"/>
        </w:rPr>
        <w:t xml:space="preserve">, telefonia, </w:t>
      </w:r>
      <w:proofErr w:type="spellStart"/>
      <w:r w:rsidRPr="00B57A52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B57A52">
        <w:rPr>
          <w:rFonts w:ascii="Times New Roman" w:hAnsi="Times New Roman" w:cs="Times New Roman"/>
          <w:sz w:val="24"/>
          <w:szCs w:val="24"/>
        </w:rPr>
        <w:t>)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 xml:space="preserve">e sobre </w:t>
      </w:r>
      <w:r w:rsidR="007C3DD1" w:rsidRPr="00B57A52">
        <w:rPr>
          <w:rFonts w:ascii="Times New Roman" w:hAnsi="Times New Roman" w:cs="Times New Roman"/>
          <w:sz w:val="24"/>
          <w:szCs w:val="24"/>
        </w:rPr>
        <w:t>combustíveis</w:t>
      </w:r>
      <w:r w:rsidRPr="00B57A52">
        <w:rPr>
          <w:rFonts w:ascii="Times New Roman" w:hAnsi="Times New Roman" w:cs="Times New Roman"/>
          <w:sz w:val="24"/>
          <w:szCs w:val="24"/>
        </w:rPr>
        <w:t>, gás de cozinha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e cesta básica;</w:t>
      </w:r>
    </w:p>
    <w:p w14:paraId="2F76EA7E" w14:textId="1DFB90DD" w:rsidR="00B57A52" w:rsidRPr="00B57A52" w:rsidRDefault="00B57A52" w:rsidP="00B57A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52">
        <w:rPr>
          <w:rFonts w:ascii="Times New Roman" w:hAnsi="Times New Roman" w:cs="Times New Roman"/>
          <w:sz w:val="24"/>
          <w:szCs w:val="24"/>
        </w:rPr>
        <w:t>5. Dispensar a cobrança de taxas na emissão de licenças e autorizações no âmbito estadual para o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 xml:space="preserve">funcionamento de empresas cuja atividade que não seja considerada de </w:t>
      </w:r>
      <w:r w:rsidRPr="00B57A52">
        <w:rPr>
          <w:rFonts w:ascii="Times New Roman" w:hAnsi="Times New Roman" w:cs="Times New Roman"/>
          <w:sz w:val="24"/>
          <w:szCs w:val="24"/>
        </w:rPr>
        <w:lastRenderedPageBreak/>
        <w:t>alto risco, classificadas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conforme as legislações existentes dos respectivos órgãos fiscalizadores e reguladores;</w:t>
      </w:r>
    </w:p>
    <w:p w14:paraId="54420382" w14:textId="52C871FA" w:rsidR="00B57A52" w:rsidRPr="00B57A52" w:rsidRDefault="00B57A52" w:rsidP="00B57A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52">
        <w:rPr>
          <w:rFonts w:ascii="Times New Roman" w:hAnsi="Times New Roman" w:cs="Times New Roman"/>
          <w:sz w:val="24"/>
          <w:szCs w:val="24"/>
        </w:rPr>
        <w:t>6. Prorrogação por 6 (seis) meses dos prazos de validade das certidões negativas, licenças e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autorizações emitidas pelos órgãos do governo estadual, facilitando a regularidade das empresas para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a participação em processos licitatórios estaduais e nacionais;</w:t>
      </w:r>
    </w:p>
    <w:p w14:paraId="3994B910" w14:textId="36B653E2" w:rsidR="00B57A52" w:rsidRPr="00B57A52" w:rsidRDefault="00B57A52" w:rsidP="00B57A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52">
        <w:rPr>
          <w:rFonts w:ascii="Times New Roman" w:hAnsi="Times New Roman" w:cs="Times New Roman"/>
          <w:sz w:val="24"/>
          <w:szCs w:val="24"/>
        </w:rPr>
        <w:t>7. Suspensão na realização de auditorias fiscais, prazos de defesa e contestação e recursos nos processos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fiscais e inscrições de débitos em dívida ativa, reiniciando apenas 30 (trinta) dias após a retomada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do funcionamento das empresas de todos os segmentos;</w:t>
      </w:r>
    </w:p>
    <w:p w14:paraId="533FF72A" w14:textId="7E2AFADE" w:rsidR="00B57A52" w:rsidRPr="00B57A52" w:rsidRDefault="00B57A52" w:rsidP="00B57A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52">
        <w:rPr>
          <w:rFonts w:ascii="Times New Roman" w:hAnsi="Times New Roman" w:cs="Times New Roman"/>
          <w:sz w:val="24"/>
          <w:szCs w:val="24"/>
        </w:rPr>
        <w:t>8. Constituir um fundo emergencial que possa ser utilizado pelas micro e pequenas empresas como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garantia no pagamento de aluguéis e outras obrigações essenciais para o funcionamento das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 xml:space="preserve">empresas, nos moldes a serem regulamentados pelo próprio </w:t>
      </w:r>
      <w:r w:rsidR="007C3DD1" w:rsidRPr="00B57A52">
        <w:rPr>
          <w:rFonts w:ascii="Times New Roman" w:hAnsi="Times New Roman" w:cs="Times New Roman"/>
          <w:sz w:val="24"/>
          <w:szCs w:val="24"/>
        </w:rPr>
        <w:t>governo</w:t>
      </w:r>
    </w:p>
    <w:p w14:paraId="386632F1" w14:textId="27FCE3DD" w:rsidR="007B6BC8" w:rsidRPr="00A50852" w:rsidRDefault="00B57A52" w:rsidP="00B57A5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52">
        <w:rPr>
          <w:rFonts w:ascii="Times New Roman" w:hAnsi="Times New Roman" w:cs="Times New Roman"/>
          <w:sz w:val="24"/>
          <w:szCs w:val="24"/>
        </w:rPr>
        <w:t>9. Antecipação do pagamento do 13° (décimo terceiro) salário dos servidores aposentados do Estado,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>logo após a retomada do funcionamento das empresas de todos os segmentos, como forma de</w:t>
      </w:r>
      <w:r w:rsidR="007C3DD1">
        <w:rPr>
          <w:rFonts w:ascii="Times New Roman" w:hAnsi="Times New Roman" w:cs="Times New Roman"/>
          <w:sz w:val="24"/>
          <w:szCs w:val="24"/>
        </w:rPr>
        <w:t xml:space="preserve"> </w:t>
      </w:r>
      <w:r w:rsidRPr="00B57A52">
        <w:rPr>
          <w:rFonts w:ascii="Times New Roman" w:hAnsi="Times New Roman" w:cs="Times New Roman"/>
          <w:sz w:val="24"/>
          <w:szCs w:val="24"/>
        </w:rPr>
        <w:t xml:space="preserve">impulsionar a economia local e reduzir os </w:t>
      </w:r>
      <w:r w:rsidR="007C3DD1" w:rsidRPr="00B57A52">
        <w:rPr>
          <w:rFonts w:ascii="Times New Roman" w:hAnsi="Times New Roman" w:cs="Times New Roman"/>
          <w:sz w:val="24"/>
          <w:szCs w:val="24"/>
        </w:rPr>
        <w:t>efeitos</w:t>
      </w:r>
      <w:bookmarkStart w:id="0" w:name="_GoBack"/>
      <w:bookmarkEnd w:id="0"/>
      <w:r w:rsidRPr="00B57A52">
        <w:rPr>
          <w:rFonts w:ascii="Times New Roman" w:hAnsi="Times New Roman" w:cs="Times New Roman"/>
          <w:sz w:val="24"/>
          <w:szCs w:val="24"/>
        </w:rPr>
        <w:t xml:space="preserve"> negativos da crise.</w:t>
      </w:r>
      <w:r w:rsidR="007B6BC8" w:rsidRPr="00A5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20B6F18C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E90FE6">
        <w:rPr>
          <w:rFonts w:ascii="Times New Roman" w:hAnsi="Times New Roman" w:cs="Times New Roman"/>
          <w:sz w:val="24"/>
          <w:szCs w:val="24"/>
        </w:rPr>
        <w:t>08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E90FE6">
        <w:rPr>
          <w:rFonts w:ascii="Times New Roman" w:hAnsi="Times New Roman" w:cs="Times New Roman"/>
          <w:sz w:val="24"/>
          <w:szCs w:val="24"/>
        </w:rPr>
        <w:t>abril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</w:t>
      </w:r>
      <w:r w:rsidR="00796783">
        <w:rPr>
          <w:rFonts w:ascii="Times New Roman" w:hAnsi="Times New Roman" w:cs="Times New Roman"/>
          <w:sz w:val="24"/>
          <w:szCs w:val="24"/>
        </w:rPr>
        <w:t>20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5545F022" w14:textId="236C581D" w:rsidR="00222104" w:rsidRPr="00447026" w:rsidRDefault="00C865BB" w:rsidP="00FC58BC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33314"/>
    <w:rsid w:val="00070A79"/>
    <w:rsid w:val="00080D76"/>
    <w:rsid w:val="000C563E"/>
    <w:rsid w:val="00110ABE"/>
    <w:rsid w:val="001713E2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56A28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D49A4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96783"/>
    <w:rsid w:val="007B6BC8"/>
    <w:rsid w:val="007C3DD1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8E46A5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57A52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C23E1"/>
    <w:rsid w:val="00CD0208"/>
    <w:rsid w:val="00CD4281"/>
    <w:rsid w:val="00CE2DA7"/>
    <w:rsid w:val="00CF0882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35F5C"/>
    <w:rsid w:val="00E73FC7"/>
    <w:rsid w:val="00E77418"/>
    <w:rsid w:val="00E77A39"/>
    <w:rsid w:val="00E90FE6"/>
    <w:rsid w:val="00EA1AF5"/>
    <w:rsid w:val="00EB23B9"/>
    <w:rsid w:val="00F112C2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C04CF"/>
    <w:rsid w:val="00FC58BC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2020-01-29T14:49:00Z</cp:lastPrinted>
  <dcterms:created xsi:type="dcterms:W3CDTF">2020-04-08T21:11:00Z</dcterms:created>
  <dcterms:modified xsi:type="dcterms:W3CDTF">2020-04-08T21:11:00Z</dcterms:modified>
</cp:coreProperties>
</file>