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302677">
        <w:rPr>
          <w:rFonts w:ascii="Times New Roman" w:hAnsi="Times New Roman"/>
          <w:szCs w:val="24"/>
        </w:rPr>
        <w:t xml:space="preserve"> </w:t>
      </w:r>
      <w:r w:rsidR="0046545C" w:rsidRPr="00F4243A">
        <w:rPr>
          <w:rFonts w:ascii="Times New Roman" w:hAnsi="Times New Roman"/>
          <w:szCs w:val="24"/>
        </w:rPr>
        <w:t xml:space="preserve">DE </w:t>
      </w:r>
      <w:r w:rsidR="00AA344E">
        <w:rPr>
          <w:rFonts w:ascii="Times New Roman" w:hAnsi="Times New Roman"/>
          <w:szCs w:val="24"/>
        </w:rPr>
        <w:t>2020</w:t>
      </w:r>
    </w:p>
    <w:p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:rsidR="0046545C" w:rsidRDefault="00814411" w:rsidP="00814411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14411">
        <w:rPr>
          <w:rFonts w:ascii="Times New Roman" w:hAnsi="Times New Roman" w:cs="Times New Roman"/>
          <w:b/>
          <w:sz w:val="24"/>
          <w:szCs w:val="24"/>
        </w:rPr>
        <w:t xml:space="preserve">DISPÕE SOBRE A </w:t>
      </w:r>
      <w:r w:rsidR="007679F1">
        <w:rPr>
          <w:rFonts w:ascii="Times New Roman" w:hAnsi="Times New Roman" w:cs="Times New Roman"/>
          <w:b/>
          <w:sz w:val="24"/>
          <w:szCs w:val="24"/>
        </w:rPr>
        <w:t>PUBLICAÇÃO, NA INTERNET, DA LISTA DE ESPERA DOS PACIENTES QUE AGUARDAM POR CONSULTAS, EXAMES E INTERVENÇÕES CIRÚRGICAS DAREDE PÚBLICA DE SAÚDE DO ESTADO DO MARANHÃO.</w:t>
      </w:r>
    </w:p>
    <w:p w:rsidR="00814411" w:rsidRPr="00F4243A" w:rsidRDefault="00814411" w:rsidP="00814411">
      <w:pPr>
        <w:pStyle w:val="Ementa"/>
        <w:rPr>
          <w:rFonts w:ascii="Times New Roman" w:hAnsi="Times New Roman" w:cs="Times New Roman"/>
          <w:sz w:val="24"/>
          <w:szCs w:val="24"/>
        </w:rPr>
      </w:pPr>
    </w:p>
    <w:p w:rsidR="007679F1" w:rsidRPr="007679F1" w:rsidRDefault="007679F1" w:rsidP="00BA1B36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Sistema Único de Saúde - SUS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todas as esferas de Gov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erno no Estado do Maranhão, poderá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publicar e atualizar, em seu </w:t>
      </w:r>
      <w:r w:rsidRPr="00767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site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oficial na internet, a lista de espera, atualizada, dos pacientes que aguardam consultas (discriminadas por especialidade), exames, intervenções cirúrgicas e quaisquer outros procedimentos na sua área de gestão.</w:t>
      </w:r>
    </w:p>
    <w:p w:rsidR="007679F1" w:rsidRPr="007679F1" w:rsidRDefault="007679F1" w:rsidP="007679F1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listagens disponibilizadas devem ser específicas para cada modalidade de consulta (discriminada por especialidade), exame, intervenção cirúrgica ou procedimentos e abranger todos os pacientes inscritos em quaisquer das unidades do S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istema Único de Saúde do Estado do Maranhão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incluindo as unidades conveniadas e outros prestadores que recebam recursos públicos.</w:t>
      </w:r>
    </w:p>
    <w:p w:rsidR="007679F1" w:rsidRPr="007679F1" w:rsidRDefault="007679F1" w:rsidP="007679F1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divulgação das informações de que trata esta Lei deve observar o direito à privacidade do paciente, que poderá ser identificado pelo núme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 do Cartão Nacional de Saúde -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CNS) ou pe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 Cadastro de Pessoas Físicas - CPF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79F1" w:rsidRPr="007679F1" w:rsidRDefault="007679F1" w:rsidP="007679F1">
      <w:pPr>
        <w:spacing w:after="24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3º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lista de espera de que trata esta Lei deve ser disponibilizada em cada esfera de Governo pelo gestor do SUS, que deverá seguir a ordem de inscrição para a chamada dos pacientes, salvo nos procedimentos emergenciais, reconhecidos como tal.</w:t>
      </w:r>
    </w:p>
    <w:p w:rsidR="007679F1" w:rsidRPr="007679F1" w:rsidRDefault="007679F1" w:rsidP="007679F1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gestor estadual do SUS deve unificar as listas estaduais, levando em consideração os critérios técnicos para o atendimento do paciente.</w:t>
      </w:r>
    </w:p>
    <w:p w:rsidR="007679F1" w:rsidRPr="007679F1" w:rsidRDefault="007679F1" w:rsidP="007679F1">
      <w:pPr>
        <w:spacing w:after="24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4º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listas de espera divulgadas devem conter:</w:t>
      </w:r>
    </w:p>
    <w:p w:rsidR="007679F1" w:rsidRPr="007679F1" w:rsidRDefault="007679F1" w:rsidP="007679F1">
      <w:pPr>
        <w:spacing w:after="24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I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 data de solicitação da consulta (discriminada por especialidade), do exame, das intervenções cirúrgicas ou de outros procedimentos;</w:t>
      </w:r>
    </w:p>
    <w:p w:rsidR="007679F1" w:rsidRPr="007679F1" w:rsidRDefault="007679F1" w:rsidP="007679F1">
      <w:pPr>
        <w:spacing w:after="24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II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 posição que o paciente ocupa na fila de espera;</w:t>
      </w:r>
    </w:p>
    <w:p w:rsidR="007679F1" w:rsidRPr="007679F1" w:rsidRDefault="007679F1" w:rsidP="007679F1">
      <w:pPr>
        <w:spacing w:after="24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III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o nome completo dos inscritos habilitados para a respectiva consulta, exame, intervenção cirúrgica ou outros procedimentos;</w:t>
      </w:r>
    </w:p>
    <w:p w:rsidR="007679F1" w:rsidRPr="007679F1" w:rsidRDefault="007679F1" w:rsidP="007679F1">
      <w:pPr>
        <w:spacing w:after="24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relação dos pacientes já atendidos, por meio da divulgação do número do Cartão Nacional 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Saúde - CNS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Cadastro de Pessoas Físicas - CPF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79F1" w:rsidRPr="007679F1" w:rsidRDefault="007679F1" w:rsidP="007679F1">
      <w:pPr>
        <w:spacing w:after="240"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especificação do tipo de consulta (discriminada por especialidade), exame, intervenção cirúrgica ou outros procedimentos; e</w:t>
      </w:r>
    </w:p>
    <w:p w:rsidR="007679F1" w:rsidRPr="007679F1" w:rsidRDefault="007679F1" w:rsidP="007679F1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VI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estimativa de prazo para o atendimento solicitado.</w:t>
      </w:r>
    </w:p>
    <w:p w:rsidR="007679F1" w:rsidRPr="007679F1" w:rsidRDefault="007679F1" w:rsidP="007679F1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5º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BA1B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Sistema Único de Saúde – SUS no âmbito do Estado do Maranhão poderá criar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serviço gratuito para consulta telefônica à lista de que trata esta Lei.</w:t>
      </w:r>
    </w:p>
    <w:p w:rsidR="007679F1" w:rsidRPr="007679F1" w:rsidRDefault="007679F1" w:rsidP="007679F1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6º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unidades de saúde afixarão em local visível as principais informações desta Lei.</w:t>
      </w:r>
    </w:p>
    <w:p w:rsidR="007679F1" w:rsidRPr="007679F1" w:rsidRDefault="007679F1" w:rsidP="007679F1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7º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7679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no prazo de 120 (cento e vinte) dias a contar da data de sua publicação.</w:t>
      </w:r>
    </w:p>
    <w:p w:rsidR="00713F20" w:rsidRDefault="00713F20" w:rsidP="00880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EC" w:rsidRDefault="001869EC" w:rsidP="0046545C">
      <w:pPr>
        <w:pStyle w:val="Ttulo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2282F" w:rsidRDefault="00A85111" w:rsidP="00C859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057401" cy="1543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Yglés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369" cy="15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82F" w:rsidRDefault="0042282F" w:rsidP="00C859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1A" w:rsidRDefault="00C8591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1A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8591A" w:rsidRDefault="00C8591A" w:rsidP="00C8591A">
      <w:pPr>
        <w:pStyle w:val="Ttulo1"/>
        <w:tabs>
          <w:tab w:val="left" w:pos="7797"/>
        </w:tabs>
        <w:jc w:val="center"/>
        <w:rPr>
          <w:rFonts w:ascii="Times New Roman" w:hAnsi="Times New Roman"/>
        </w:rPr>
      </w:pPr>
    </w:p>
    <w:p w:rsidR="00BA1B36" w:rsidRDefault="00BA1B36" w:rsidP="0036343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23D3D">
        <w:rPr>
          <w:rFonts w:ascii="Times New Roman" w:hAnsi="Times New Roman" w:cs="Times New Roman"/>
          <w:sz w:val="24"/>
          <w:szCs w:val="24"/>
        </w:rPr>
        <w:t xml:space="preserve"> Projeto de Lei Ordinária</w:t>
      </w:r>
      <w:r w:rsidR="002B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6F88">
        <w:rPr>
          <w:rFonts w:ascii="Times New Roman" w:hAnsi="Times New Roman" w:cs="Times New Roman"/>
          <w:sz w:val="24"/>
          <w:szCs w:val="24"/>
        </w:rPr>
        <w:t>ra apresentado</w:t>
      </w:r>
      <w:r w:rsidR="00D23D3D">
        <w:rPr>
          <w:rFonts w:ascii="Times New Roman" w:hAnsi="Times New Roman" w:cs="Times New Roman"/>
          <w:sz w:val="24"/>
          <w:szCs w:val="24"/>
        </w:rPr>
        <w:t xml:space="preserve"> a esta Casa, </w:t>
      </w:r>
      <w:r w:rsidR="00D23D3D" w:rsidRPr="00D23D3D">
        <w:rPr>
          <w:rFonts w:ascii="Times New Roman" w:hAnsi="Times New Roman" w:cs="Times New Roman"/>
          <w:sz w:val="24"/>
          <w:szCs w:val="24"/>
        </w:rPr>
        <w:t xml:space="preserve">dispõe </w:t>
      </w:r>
      <w:r w:rsidRPr="00BA1B36">
        <w:rPr>
          <w:rFonts w:ascii="Times New Roman" w:hAnsi="Times New Roman" w:cs="Times New Roman"/>
          <w:sz w:val="24"/>
          <w:szCs w:val="24"/>
        </w:rPr>
        <w:t>sobre a publicação, na internet, da lista de espera dos pacientes que aguardam por consultas, exames e intervenções cirúrgicas da</w:t>
      </w:r>
      <w:r>
        <w:rPr>
          <w:rFonts w:ascii="Times New Roman" w:hAnsi="Times New Roman" w:cs="Times New Roman"/>
          <w:sz w:val="24"/>
          <w:szCs w:val="24"/>
        </w:rPr>
        <w:t xml:space="preserve"> rede pública de saúde do Estado do M</w:t>
      </w:r>
      <w:r w:rsidRPr="00BA1B36">
        <w:rPr>
          <w:rFonts w:ascii="Times New Roman" w:hAnsi="Times New Roman" w:cs="Times New Roman"/>
          <w:sz w:val="24"/>
          <w:szCs w:val="24"/>
        </w:rPr>
        <w:t>aranhão</w:t>
      </w:r>
      <w:r>
        <w:rPr>
          <w:rFonts w:ascii="Times New Roman" w:hAnsi="Times New Roman" w:cs="Times New Roman"/>
          <w:sz w:val="24"/>
          <w:szCs w:val="24"/>
        </w:rPr>
        <w:t xml:space="preserve">. A proposição é inspirada na Lei Estadual nº 17.066 de 2017 do Estado de Santa Catarina e foi apresentada a este parlamentar pela Associação dos Magistrados do Maranhão, com a convicção de que a adoção da iniciativa no Estado do Maranhão contribuirá para a transparência da política pública de saúde estadual e para a racionalização da judicialização da saúde, pois os operadores do Sistema de Justiça, especialmente os magistrados estaduais, terão acesso à composição das filas de espera e aos critérios objetivos estabelecidos pela proposição sugerida. Dessa forma, eventual determinação judicial estará pautada em protocolos </w:t>
      </w:r>
      <w:r w:rsidR="00AF2039">
        <w:rPr>
          <w:rFonts w:ascii="Times New Roman" w:hAnsi="Times New Roman" w:cs="Times New Roman"/>
          <w:sz w:val="24"/>
          <w:szCs w:val="24"/>
        </w:rPr>
        <w:t xml:space="preserve">clínicos ou ordem cronológica e não resultará na priorização de paciente que está na mesma situação clínica de outros que aguardam administrativamente pelo atendimento. </w:t>
      </w:r>
    </w:p>
    <w:p w:rsidR="00AF2039" w:rsidRDefault="00AF2039" w:rsidP="0036343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proposição está de acordo com as aspirações do Poder Judiciário do Estado do Maranhão, que tem envidado esforços para a criação de uma vara especializada em saúde pública, a qual foi objeto de solicitação deste parlamentar ao Tribunal de Justiça, por meio da </w:t>
      </w:r>
      <w:r w:rsidRPr="00AF2039">
        <w:rPr>
          <w:rFonts w:ascii="Times New Roman" w:hAnsi="Times New Roman" w:cs="Times New Roman"/>
          <w:b/>
          <w:sz w:val="24"/>
          <w:szCs w:val="24"/>
        </w:rPr>
        <w:t>Indicação nº 653 de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poderá contribuir muito na redução do número de processos judiciais para realização de consultas, cirurgias e exames, bem como com o cumprimento do Enunciado 93 da III Jornada de Direito da Saúde do Conselho Nacional de Justiça – CNJ, que considera excessiva a espera do paciente por tempo superior a cem dias para consultas e exames, e de cento e oitenta dias para cirurgias e tratamentos. </w:t>
      </w:r>
    </w:p>
    <w:p w:rsidR="00AF2039" w:rsidRPr="00AF2039" w:rsidRDefault="00AF2039" w:rsidP="00AF203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Trata-se, assim, de política pública a ser adotada no Estado do Maranhão, tendo em vista o princípio da publicidade. Nesse sentido,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proposição surge para contrapor-se às excessivas amarras impostas ao Poder Legislativo estadual e está de acordo com o entendimento do Supremo Tribunal Federal, que teve três momentos: </w:t>
      </w:r>
      <w:r w:rsidRPr="00A93FCA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primeiro, onde defendia a competência privativa do Poder Executivo na iniciativa de leis sobre a Administração Pública; </w:t>
      </w:r>
      <w:r w:rsidRPr="00A93FCA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segundo, que sustentava a competência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privativa do Poder Executivo na iniciativa de leis que criem órgãos e fixem suas atribuições e; </w:t>
      </w:r>
      <w:r w:rsidRPr="00A93FCA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terceiro e mais recente, em que a Corte declarou a constitucionalidade de duas leis de iniciativa parlamentar que criavam programas de políticas públicas (a saber, os casos são o </w:t>
      </w:r>
      <w:r w:rsidRPr="00627A45">
        <w:rPr>
          <w:rFonts w:ascii="Times New Roman" w:eastAsia="Times New Roman" w:hAnsi="Times New Roman" w:cs="Times New Roman"/>
          <w:sz w:val="24"/>
          <w:szCs w:val="24"/>
        </w:rPr>
        <w:t>AgR no RE nº 290.549/RJ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r w:rsidRPr="00627A45">
        <w:rPr>
          <w:rFonts w:ascii="Times New Roman" w:hAnsi="Times New Roman" w:cs="Times New Roman"/>
          <w:sz w:val="24"/>
          <w:szCs w:val="24"/>
        </w:rPr>
        <w:t>ADI nº 3.394/AM).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trecho do voto do Relator do AgR no RE nº 290.549/RJ, o Ministro Dias Toffoli, merece ser destacado para demonstrar a possibilidade de que o Poder Legislativo edite normas sobre políticas públicas sem que sobre elas recaia qualquer vício de inconstitucionalidade e por ser muito similar ao estabelecido pelo § 2º da proposição submetida a esta Casa: </w:t>
      </w:r>
    </w:p>
    <w:p w:rsidR="00AF2039" w:rsidRPr="00627A45" w:rsidRDefault="00AF2039" w:rsidP="00AF2039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A45">
        <w:rPr>
          <w:rFonts w:ascii="Times New Roman" w:eastAsia="Times New Roman" w:hAnsi="Times New Roman" w:cs="Times New Roman"/>
          <w:sz w:val="20"/>
          <w:szCs w:val="20"/>
        </w:rPr>
        <w:t xml:space="preserve">(...) a criação do programa instituído por meio dessa lei apenas tinha por objetivo fomentar a prática de esportes em vias e logradouros públicos, </w:t>
      </w:r>
      <w:r w:rsidRPr="00627A45">
        <w:rPr>
          <w:rFonts w:ascii="Times New Roman" w:eastAsia="Times New Roman" w:hAnsi="Times New Roman" w:cs="Times New Roman"/>
          <w:b/>
          <w:sz w:val="20"/>
          <w:szCs w:val="20"/>
        </w:rPr>
        <w:t>tendo ficado expressamente consignado nesse texto legal que ‘a implantação, coordenação e acompanhamento do programa ficará a cargo do órgão competente do Poder Executivo’</w:t>
      </w:r>
      <w:r w:rsidRPr="00627A45">
        <w:rPr>
          <w:rFonts w:ascii="Times New Roman" w:eastAsia="Times New Roman" w:hAnsi="Times New Roman" w:cs="Times New Roman"/>
          <w:sz w:val="20"/>
          <w:szCs w:val="20"/>
        </w:rPr>
        <w:t>, a quem incumbirá, também, aprovar as vias designadas pelos moradores para a execução do programa.</w:t>
      </w:r>
    </w:p>
    <w:p w:rsidR="00AF2039" w:rsidRDefault="00AF2039" w:rsidP="00AF2039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A45">
        <w:rPr>
          <w:rFonts w:ascii="Times New Roman" w:eastAsia="Times New Roman" w:hAnsi="Times New Roman" w:cs="Times New Roman"/>
          <w:sz w:val="20"/>
          <w:szCs w:val="20"/>
        </w:rPr>
        <w:t xml:space="preserve">(RE nº 290.549/RJ,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Rel. Ministro Dias Toffoli. Dje 29.03.2012, </w:t>
      </w:r>
      <w:r w:rsidRPr="00627A45">
        <w:rPr>
          <w:rFonts w:ascii="Times New Roman" w:eastAsia="Times New Roman" w:hAnsi="Times New Roman" w:cs="Times New Roman"/>
          <w:sz w:val="20"/>
          <w:szCs w:val="20"/>
        </w:rPr>
        <w:t>Supremo Tribunal Federal - STF)</w:t>
      </w:r>
    </w:p>
    <w:p w:rsidR="00AF2039" w:rsidRDefault="00AF2039" w:rsidP="00AF2039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2039" w:rsidRDefault="00AF2039" w:rsidP="00AF2039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Embora o art. 43 da Constituição do Estado do Maranhão seja uma norma de repetição obrigatória (cujo parâmetro é o art. 61, § 1º, da Constituição Federal), note-se que não está suprimindo ou restringindo nenhuma das atribuições privativas do governador do Estado, tão somente acrescentando que o Poder Legislativo pode contribuir para a discussão sobre políticas públicas, apresentando proposições que, de qualquer forma, passarão pelo poder sancionador do chefe do Poder Executivo estadual. Isso significa que, em análise sobre o interesse público, pode valer-se do veto político se seu entendimento for de que contraria os interesses da sociedade e do Estado.</w:t>
      </w:r>
    </w:p>
    <w:p w:rsidR="00AF2039" w:rsidRDefault="00AF2039" w:rsidP="00AF2039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Cavalcante Filho (2013, p. 31)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F2039" w:rsidRDefault="00AF2039" w:rsidP="00AF2039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00B">
        <w:rPr>
          <w:rFonts w:ascii="Times New Roman" w:hAnsi="Times New Roman" w:cs="Times New Roman"/>
          <w:sz w:val="20"/>
          <w:szCs w:val="20"/>
        </w:rPr>
        <w:t xml:space="preserve">Contudo, essa cláusula deve ser interpretada de forma restritiva, por conta de fatores históricos e dogmáticos. Não se pode nela ver uma inconstitucionalidade (por vício de iniciativa) de qualquer projeto de lei proposto pelo Legislativo e que trate sobre políticas públicas. Isso é assim porque o Legislativo tem a prerrogativa – e o dever – de concretizar os direitos fundamentais sociais, aos quais está constitucionalmente vinculado (art. 5º, § 1º). Dessa maneira, é possível defender uma interpretação da alínea e do inciso II do § 1º do art. 61 que seja compatível com a prerrogativa do </w:t>
      </w:r>
      <w:r w:rsidRPr="009E700B">
        <w:rPr>
          <w:rFonts w:ascii="Times New Roman" w:hAnsi="Times New Roman" w:cs="Times New Roman"/>
          <w:sz w:val="20"/>
          <w:szCs w:val="20"/>
        </w:rPr>
        <w:lastRenderedPageBreak/>
        <w:t xml:space="preserve">legislador de formular políticas públicas. O que não se admite é que, por iniciativa parlamentar, se promova o redesenho de órgãos do Executivo, ou a criação de novas atribuições (ou mesmo de novos órgãos). Do mesmo modo, é inadmissível que o legislador edite meras leis autorizativas, ou, ainda, que invada o espaço constitucionalmente delimitado para o exercício da função administrativa (reserva de administração). </w:t>
      </w:r>
      <w:r w:rsidRPr="009E70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F2039" w:rsidRPr="009E700B" w:rsidRDefault="00AF2039" w:rsidP="00AF2039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930" w:rsidRDefault="00F44930" w:rsidP="00F44930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Caso não seja este o entendimento dos parlamentares e da Comissão de Constituição e Justiça, informe-se que a proposição foi enviada para o Chefe do Poder Executivo do Estado do Maranhão, por meio de indicação, para o devido aproveitamento da ideia. </w:t>
      </w:r>
    </w:p>
    <w:p w:rsidR="0036343F" w:rsidRPr="00621D16" w:rsidRDefault="00AF2039" w:rsidP="00AF2039">
      <w:pPr>
        <w:pStyle w:val="Normal1"/>
        <w:spacing w:line="360" w:lineRule="auto"/>
        <w:ind w:firstLine="1134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Reconhecendo a jurisprudência do Supremo Tribunal Federal – STF sobre a possibilidade de que os Poderes Legislativos possam criar normas sobre políticas públicas e restrições nesse sentido são indevidas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36343F" w:rsidRPr="0036343F">
        <w:rPr>
          <w:rFonts w:ascii="Times New Roman" w:hAnsi="Times New Roman" w:cs="Times New Roman"/>
          <w:sz w:val="24"/>
          <w:szCs w:val="24"/>
        </w:rPr>
        <w:t xml:space="preserve"> que compete aos Estados, concorrentemente com a União, legislar sobre a saúde (art. 24, XII da Constituição Federal e art. 12, II, </w:t>
      </w:r>
      <w:r w:rsidR="0036343F" w:rsidRPr="0036343F">
        <w:rPr>
          <w:rFonts w:ascii="Times New Roman" w:hAnsi="Times New Roman" w:cs="Times New Roman"/>
          <w:i/>
          <w:sz w:val="24"/>
          <w:szCs w:val="24"/>
        </w:rPr>
        <w:t>m</w:t>
      </w:r>
      <w:r w:rsidR="0036343F" w:rsidRPr="0036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Constituição Estadual), </w:t>
      </w:r>
      <w:r w:rsidR="0036343F" w:rsidRPr="0036343F">
        <w:rPr>
          <w:rFonts w:ascii="Times New Roman" w:hAnsi="Times New Roman" w:cs="Times New Roman"/>
          <w:sz w:val="24"/>
          <w:szCs w:val="24"/>
        </w:rPr>
        <w:t>conto com o apoio dos nobríssimos parlamentares para aprovação desta proposição.</w:t>
      </w:r>
    </w:p>
    <w:p w:rsidR="00C8591A" w:rsidRPr="00C8591A" w:rsidRDefault="009A35BB" w:rsidP="009A35BB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205E1B73" wp14:editId="554FCD77">
            <wp:extent cx="2019300" cy="1514476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Yglési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91A" w:rsidRPr="00C8591A" w:rsidSect="00542415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05" w:rsidRDefault="004C0305" w:rsidP="00E660E2">
      <w:pPr>
        <w:spacing w:after="0" w:line="240" w:lineRule="auto"/>
      </w:pPr>
      <w:r>
        <w:separator/>
      </w:r>
    </w:p>
  </w:endnote>
  <w:endnote w:type="continuationSeparator" w:id="0">
    <w:p w:rsidR="004C0305" w:rsidRDefault="004C0305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05" w:rsidRDefault="004C0305" w:rsidP="00E660E2">
      <w:pPr>
        <w:spacing w:after="0" w:line="240" w:lineRule="auto"/>
      </w:pPr>
      <w:r>
        <w:separator/>
      </w:r>
    </w:p>
  </w:footnote>
  <w:footnote w:type="continuationSeparator" w:id="0">
    <w:p w:rsidR="004C0305" w:rsidRDefault="004C0305" w:rsidP="00E660E2">
      <w:pPr>
        <w:spacing w:after="0" w:line="240" w:lineRule="auto"/>
      </w:pPr>
      <w:r>
        <w:continuationSeparator/>
      </w:r>
    </w:p>
  </w:footnote>
  <w:footnote w:id="1">
    <w:p w:rsidR="00AF2039" w:rsidRPr="009E700B" w:rsidRDefault="00AF2039" w:rsidP="00AF2039">
      <w:pPr>
        <w:pStyle w:val="Textodenotaderodap"/>
        <w:jc w:val="both"/>
        <w:rPr>
          <w:rFonts w:ascii="Times New Roman" w:hAnsi="Times New Roman" w:cs="Times New Roman"/>
        </w:rPr>
      </w:pPr>
      <w:r w:rsidRPr="009E700B">
        <w:rPr>
          <w:rStyle w:val="Refdenotaderodap"/>
          <w:rFonts w:ascii="Times New Roman" w:hAnsi="Times New Roman" w:cs="Times New Roman"/>
        </w:rPr>
        <w:footnoteRef/>
      </w:r>
      <w:r w:rsidRPr="009E700B">
        <w:rPr>
          <w:rFonts w:ascii="Times New Roman" w:hAnsi="Times New Roman" w:cs="Times New Roman"/>
        </w:rPr>
        <w:t xml:space="preserve"> CAVALCANTE FILHO, João Trindade. </w:t>
      </w:r>
      <w:r w:rsidRPr="009E700B">
        <w:rPr>
          <w:rFonts w:ascii="Times New Roman" w:hAnsi="Times New Roman" w:cs="Times New Roman"/>
          <w:b/>
        </w:rPr>
        <w:t xml:space="preserve">Limites da Iniciativa Parlamentar sobre Políticas Públicas: uma proposta de releitura do art. 61, § 1º, II, </w:t>
      </w:r>
      <w:r w:rsidRPr="009E700B">
        <w:rPr>
          <w:rFonts w:ascii="Times New Roman" w:hAnsi="Times New Roman" w:cs="Times New Roman"/>
          <w:b/>
          <w:i/>
        </w:rPr>
        <w:t>e</w:t>
      </w:r>
      <w:r w:rsidRPr="009E700B">
        <w:rPr>
          <w:rFonts w:ascii="Times New Roman" w:hAnsi="Times New Roman" w:cs="Times New Roman"/>
          <w:b/>
        </w:rPr>
        <w:t>, da Constituição Federal</w:t>
      </w:r>
      <w:r w:rsidRPr="009E700B">
        <w:rPr>
          <w:rFonts w:ascii="Times New Roman" w:hAnsi="Times New Roman" w:cs="Times New Roman"/>
        </w:rPr>
        <w:t>. Senado Federal, Brasília, 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F1" w:rsidRDefault="007679F1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575BDB92" wp14:editId="7A03478D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B36" w:rsidRDefault="007679F1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7679F1" w:rsidRPr="00A20743" w:rsidRDefault="007679F1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7679F1" w:rsidRDefault="00767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84"/>
    <w:rsid w:val="000013D2"/>
    <w:rsid w:val="000057BA"/>
    <w:rsid w:val="00007945"/>
    <w:rsid w:val="00007D55"/>
    <w:rsid w:val="0003404B"/>
    <w:rsid w:val="000344A8"/>
    <w:rsid w:val="000741E7"/>
    <w:rsid w:val="00085063"/>
    <w:rsid w:val="000943E3"/>
    <w:rsid w:val="000C7554"/>
    <w:rsid w:val="000D56A1"/>
    <w:rsid w:val="000E0BD4"/>
    <w:rsid w:val="000E65EB"/>
    <w:rsid w:val="00183E1D"/>
    <w:rsid w:val="00184FAE"/>
    <w:rsid w:val="001869EC"/>
    <w:rsid w:val="001A048B"/>
    <w:rsid w:val="001B33EA"/>
    <w:rsid w:val="001C1C6C"/>
    <w:rsid w:val="001F324A"/>
    <w:rsid w:val="001F46BC"/>
    <w:rsid w:val="00200CC3"/>
    <w:rsid w:val="00204D9F"/>
    <w:rsid w:val="0022581F"/>
    <w:rsid w:val="002631BC"/>
    <w:rsid w:val="00264292"/>
    <w:rsid w:val="00275C3F"/>
    <w:rsid w:val="00285701"/>
    <w:rsid w:val="00292FA3"/>
    <w:rsid w:val="00294384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87F25"/>
    <w:rsid w:val="003A2D8A"/>
    <w:rsid w:val="003E71A2"/>
    <w:rsid w:val="0042282F"/>
    <w:rsid w:val="004263B0"/>
    <w:rsid w:val="00433762"/>
    <w:rsid w:val="00437BEE"/>
    <w:rsid w:val="00440FA9"/>
    <w:rsid w:val="0046545C"/>
    <w:rsid w:val="00497E00"/>
    <w:rsid w:val="004B4968"/>
    <w:rsid w:val="004C0305"/>
    <w:rsid w:val="00532B54"/>
    <w:rsid w:val="00542415"/>
    <w:rsid w:val="005446EB"/>
    <w:rsid w:val="0055470D"/>
    <w:rsid w:val="00560387"/>
    <w:rsid w:val="00576B56"/>
    <w:rsid w:val="00577B60"/>
    <w:rsid w:val="00591214"/>
    <w:rsid w:val="005B148B"/>
    <w:rsid w:val="005B1BD3"/>
    <w:rsid w:val="005C43E3"/>
    <w:rsid w:val="005D0515"/>
    <w:rsid w:val="005D076D"/>
    <w:rsid w:val="005F14DF"/>
    <w:rsid w:val="00604469"/>
    <w:rsid w:val="006314B9"/>
    <w:rsid w:val="006B524B"/>
    <w:rsid w:val="006C2820"/>
    <w:rsid w:val="00713F20"/>
    <w:rsid w:val="00727F0C"/>
    <w:rsid w:val="0073482B"/>
    <w:rsid w:val="00754ABD"/>
    <w:rsid w:val="00762510"/>
    <w:rsid w:val="007679F1"/>
    <w:rsid w:val="00772D82"/>
    <w:rsid w:val="00790152"/>
    <w:rsid w:val="00791DE6"/>
    <w:rsid w:val="007A44F6"/>
    <w:rsid w:val="007B6DAB"/>
    <w:rsid w:val="007D07FC"/>
    <w:rsid w:val="007D201D"/>
    <w:rsid w:val="007D5954"/>
    <w:rsid w:val="00801F45"/>
    <w:rsid w:val="00811047"/>
    <w:rsid w:val="0081388B"/>
    <w:rsid w:val="00814411"/>
    <w:rsid w:val="00830FCD"/>
    <w:rsid w:val="0084397C"/>
    <w:rsid w:val="00845011"/>
    <w:rsid w:val="008614DA"/>
    <w:rsid w:val="008659D1"/>
    <w:rsid w:val="008806A3"/>
    <w:rsid w:val="00882263"/>
    <w:rsid w:val="008838E2"/>
    <w:rsid w:val="00885EE7"/>
    <w:rsid w:val="0089696E"/>
    <w:rsid w:val="008A0FB5"/>
    <w:rsid w:val="008D193C"/>
    <w:rsid w:val="008D22C8"/>
    <w:rsid w:val="00905193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D3148"/>
    <w:rsid w:val="00A10AE1"/>
    <w:rsid w:val="00A2364E"/>
    <w:rsid w:val="00A37F30"/>
    <w:rsid w:val="00A5427F"/>
    <w:rsid w:val="00A66ADC"/>
    <w:rsid w:val="00A715BA"/>
    <w:rsid w:val="00A765DF"/>
    <w:rsid w:val="00A85111"/>
    <w:rsid w:val="00A964F0"/>
    <w:rsid w:val="00AA344E"/>
    <w:rsid w:val="00AB6615"/>
    <w:rsid w:val="00AD31C9"/>
    <w:rsid w:val="00AD4A99"/>
    <w:rsid w:val="00AF2039"/>
    <w:rsid w:val="00B17C75"/>
    <w:rsid w:val="00B357F8"/>
    <w:rsid w:val="00B86FDD"/>
    <w:rsid w:val="00BA01A0"/>
    <w:rsid w:val="00BA1B36"/>
    <w:rsid w:val="00BA5722"/>
    <w:rsid w:val="00BB555C"/>
    <w:rsid w:val="00BC4B5E"/>
    <w:rsid w:val="00BE705A"/>
    <w:rsid w:val="00BF68E4"/>
    <w:rsid w:val="00C37147"/>
    <w:rsid w:val="00C66DC9"/>
    <w:rsid w:val="00C70639"/>
    <w:rsid w:val="00C73D5A"/>
    <w:rsid w:val="00C767D6"/>
    <w:rsid w:val="00C8591A"/>
    <w:rsid w:val="00C91956"/>
    <w:rsid w:val="00D23D3D"/>
    <w:rsid w:val="00D341F7"/>
    <w:rsid w:val="00D5142A"/>
    <w:rsid w:val="00D57E42"/>
    <w:rsid w:val="00D61739"/>
    <w:rsid w:val="00D65AC6"/>
    <w:rsid w:val="00D86439"/>
    <w:rsid w:val="00D954D4"/>
    <w:rsid w:val="00DA3CA3"/>
    <w:rsid w:val="00DA51F1"/>
    <w:rsid w:val="00DA706F"/>
    <w:rsid w:val="00DB383A"/>
    <w:rsid w:val="00E04C17"/>
    <w:rsid w:val="00E179FD"/>
    <w:rsid w:val="00E3216C"/>
    <w:rsid w:val="00E3373E"/>
    <w:rsid w:val="00E44637"/>
    <w:rsid w:val="00E51034"/>
    <w:rsid w:val="00E660E2"/>
    <w:rsid w:val="00E85E8D"/>
    <w:rsid w:val="00EA394C"/>
    <w:rsid w:val="00ED36CA"/>
    <w:rsid w:val="00F075C2"/>
    <w:rsid w:val="00F1484E"/>
    <w:rsid w:val="00F4243A"/>
    <w:rsid w:val="00F44930"/>
    <w:rsid w:val="00F80C93"/>
    <w:rsid w:val="00F919B5"/>
    <w:rsid w:val="00FA667C"/>
    <w:rsid w:val="00FB1A9F"/>
    <w:rsid w:val="00FC332B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6BDB-D749-4A65-8D35-752D007E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1328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Mylla Sampaio</cp:lastModifiedBy>
  <cp:revision>5</cp:revision>
  <cp:lastPrinted>2020-06-08T20:50:00Z</cp:lastPrinted>
  <dcterms:created xsi:type="dcterms:W3CDTF">2020-06-16T12:46:00Z</dcterms:created>
  <dcterms:modified xsi:type="dcterms:W3CDTF">2020-06-16T13:03:00Z</dcterms:modified>
</cp:coreProperties>
</file>