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5C" w:rsidRPr="00F4243A" w:rsidRDefault="00C8591A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>OJETO DE LEI Nº __</w:t>
      </w:r>
      <w:r w:rsidR="00B6544A">
        <w:rPr>
          <w:rFonts w:ascii="Times New Roman" w:hAnsi="Times New Roman"/>
          <w:szCs w:val="24"/>
        </w:rPr>
        <w:t>_</w:t>
      </w:r>
      <w:r w:rsidR="0046545C" w:rsidRPr="00F4243A">
        <w:rPr>
          <w:rFonts w:ascii="Times New Roman" w:hAnsi="Times New Roman"/>
          <w:szCs w:val="24"/>
        </w:rPr>
        <w:t xml:space="preserve">__ DE </w:t>
      </w:r>
      <w:r w:rsidR="007600BF">
        <w:rPr>
          <w:rFonts w:ascii="Times New Roman" w:hAnsi="Times New Roman"/>
          <w:szCs w:val="24"/>
        </w:rPr>
        <w:t>2020</w:t>
      </w:r>
    </w:p>
    <w:p w:rsidR="0046545C" w:rsidRPr="00F4243A" w:rsidRDefault="0046545C" w:rsidP="0046545C">
      <w:pPr>
        <w:pStyle w:val="Ementa"/>
        <w:ind w:left="0"/>
        <w:rPr>
          <w:rFonts w:ascii="Times New Roman" w:hAnsi="Times New Roman" w:cs="Times New Roman"/>
          <w:sz w:val="24"/>
          <w:szCs w:val="24"/>
        </w:rPr>
      </w:pPr>
    </w:p>
    <w:p w:rsidR="007600BF" w:rsidRPr="00F4243A" w:rsidRDefault="00B6544A" w:rsidP="00B6544A">
      <w:pPr>
        <w:pStyle w:val="Ementa"/>
        <w:ind w:left="3402"/>
        <w:rPr>
          <w:rFonts w:ascii="Times New Roman" w:hAnsi="Times New Roman" w:cs="Times New Roman"/>
          <w:sz w:val="24"/>
          <w:szCs w:val="24"/>
        </w:rPr>
      </w:pPr>
      <w:r w:rsidRPr="00B6544A">
        <w:rPr>
          <w:rFonts w:ascii="Times New Roman" w:hAnsi="Times New Roman" w:cs="Times New Roman"/>
          <w:b/>
          <w:sz w:val="24"/>
          <w:szCs w:val="24"/>
        </w:rPr>
        <w:t>ESTABELECE A DOAÇÃO DE CELULARES,</w:t>
      </w:r>
      <w:r w:rsidR="00FF34F0">
        <w:rPr>
          <w:rFonts w:ascii="Times New Roman" w:hAnsi="Times New Roman" w:cs="Times New Roman"/>
          <w:b/>
          <w:sz w:val="24"/>
          <w:szCs w:val="24"/>
        </w:rPr>
        <w:t xml:space="preserve"> SMARTPHONES,</w:t>
      </w:r>
      <w:r w:rsidRPr="00B6544A">
        <w:rPr>
          <w:rFonts w:ascii="Times New Roman" w:hAnsi="Times New Roman" w:cs="Times New Roman"/>
          <w:b/>
          <w:sz w:val="24"/>
          <w:szCs w:val="24"/>
        </w:rPr>
        <w:t xml:space="preserve"> TABLETS 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44A">
        <w:rPr>
          <w:rFonts w:ascii="Times New Roman" w:hAnsi="Times New Roman" w:cs="Times New Roman"/>
          <w:b/>
          <w:sz w:val="24"/>
          <w:szCs w:val="24"/>
        </w:rPr>
        <w:t>NOTEBOOKS APREENDIDOS PELAS POLÍCIAS CIVIL 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44A">
        <w:rPr>
          <w:rFonts w:ascii="Times New Roman" w:hAnsi="Times New Roman" w:cs="Times New Roman"/>
          <w:b/>
          <w:sz w:val="24"/>
          <w:szCs w:val="24"/>
        </w:rPr>
        <w:t>MILITAR DO ESTADO A REDE PÚBLICA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44A">
        <w:rPr>
          <w:rFonts w:ascii="Times New Roman" w:hAnsi="Times New Roman" w:cs="Times New Roman"/>
          <w:b/>
          <w:sz w:val="24"/>
          <w:szCs w:val="24"/>
        </w:rPr>
        <w:t>ENSINO.</w:t>
      </w:r>
    </w:p>
    <w:p w:rsidR="00FF34F0" w:rsidRDefault="003B55CC" w:rsidP="00FF34F0">
      <w:pPr>
        <w:spacing w:before="24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55CC">
        <w:rPr>
          <w:rFonts w:ascii="Times New Roman" w:hAnsi="Times New Roman" w:cs="Times New Roman"/>
          <w:b/>
          <w:sz w:val="24"/>
          <w:szCs w:val="24"/>
        </w:rPr>
        <w:t>Art. 1º</w:t>
      </w:r>
      <w:r w:rsidRPr="003B55CC">
        <w:rPr>
          <w:rFonts w:ascii="Times New Roman" w:hAnsi="Times New Roman" w:cs="Times New Roman"/>
          <w:sz w:val="24"/>
          <w:szCs w:val="24"/>
        </w:rPr>
        <w:t xml:space="preserve"> - </w:t>
      </w:r>
      <w:r w:rsidR="00B6544A">
        <w:rPr>
          <w:rFonts w:ascii="Times New Roman" w:hAnsi="Times New Roman" w:cs="Times New Roman"/>
          <w:sz w:val="24"/>
          <w:szCs w:val="24"/>
        </w:rPr>
        <w:t xml:space="preserve">Comprovado o interesse público na utilização de </w:t>
      </w:r>
      <w:r w:rsidR="00B6544A" w:rsidRPr="00B6544A">
        <w:rPr>
          <w:rFonts w:ascii="Times New Roman" w:hAnsi="Times New Roman" w:cs="Times New Roman"/>
          <w:sz w:val="24"/>
          <w:szCs w:val="24"/>
        </w:rPr>
        <w:t>celulares,</w:t>
      </w:r>
      <w:r w:rsidR="00580B9E">
        <w:rPr>
          <w:rFonts w:ascii="Times New Roman" w:hAnsi="Times New Roman" w:cs="Times New Roman"/>
          <w:sz w:val="24"/>
          <w:szCs w:val="24"/>
        </w:rPr>
        <w:t xml:space="preserve"> </w:t>
      </w:r>
      <w:r w:rsidR="00580B9E" w:rsidRPr="00580B9E">
        <w:rPr>
          <w:rFonts w:ascii="Times New Roman" w:hAnsi="Times New Roman" w:cs="Times New Roman"/>
          <w:i/>
          <w:sz w:val="24"/>
          <w:szCs w:val="24"/>
        </w:rPr>
        <w:t>smartphones</w:t>
      </w:r>
      <w:r w:rsidR="00580B9E">
        <w:rPr>
          <w:rFonts w:ascii="Times New Roman" w:hAnsi="Times New Roman" w:cs="Times New Roman"/>
          <w:sz w:val="24"/>
          <w:szCs w:val="24"/>
        </w:rPr>
        <w:t>,</w:t>
      </w:r>
      <w:r w:rsidR="00B6544A" w:rsidRPr="00B6544A">
        <w:rPr>
          <w:rFonts w:ascii="Times New Roman" w:hAnsi="Times New Roman" w:cs="Times New Roman"/>
          <w:sz w:val="24"/>
          <w:szCs w:val="24"/>
        </w:rPr>
        <w:t xml:space="preserve"> tablets e notebooks apreendidos em ações policiais no Estado do </w:t>
      </w:r>
      <w:r w:rsidR="00B6544A">
        <w:rPr>
          <w:rFonts w:ascii="Times New Roman" w:hAnsi="Times New Roman" w:cs="Times New Roman"/>
          <w:sz w:val="24"/>
          <w:szCs w:val="24"/>
        </w:rPr>
        <w:t>Maranhão</w:t>
      </w:r>
      <w:r w:rsidR="00B6544A" w:rsidRPr="00B6544A">
        <w:rPr>
          <w:rFonts w:ascii="Times New Roman" w:hAnsi="Times New Roman" w:cs="Times New Roman"/>
          <w:sz w:val="24"/>
          <w:szCs w:val="24"/>
        </w:rPr>
        <w:t xml:space="preserve"> e que não constituam mais prova imprescindível à persecução penal </w:t>
      </w:r>
      <w:r w:rsidR="000C7624">
        <w:rPr>
          <w:rFonts w:ascii="Times New Roman" w:hAnsi="Times New Roman" w:cs="Times New Roman"/>
          <w:sz w:val="24"/>
          <w:szCs w:val="24"/>
        </w:rPr>
        <w:t>po</w:t>
      </w:r>
      <w:r w:rsidR="0076487D">
        <w:rPr>
          <w:rFonts w:ascii="Times New Roman" w:hAnsi="Times New Roman" w:cs="Times New Roman"/>
          <w:sz w:val="24"/>
          <w:szCs w:val="24"/>
        </w:rPr>
        <w:t>de</w:t>
      </w:r>
      <w:r w:rsidR="00B6544A" w:rsidRPr="00B6544A">
        <w:rPr>
          <w:rFonts w:ascii="Times New Roman" w:hAnsi="Times New Roman" w:cs="Times New Roman"/>
          <w:sz w:val="24"/>
          <w:szCs w:val="24"/>
        </w:rPr>
        <w:t xml:space="preserve">rão </w:t>
      </w:r>
      <w:r w:rsidR="0076487D">
        <w:rPr>
          <w:rFonts w:ascii="Times New Roman" w:hAnsi="Times New Roman" w:cs="Times New Roman"/>
          <w:sz w:val="24"/>
          <w:szCs w:val="24"/>
        </w:rPr>
        <w:t xml:space="preserve">ser </w:t>
      </w:r>
      <w:r w:rsidR="00B6544A" w:rsidRPr="00B6544A">
        <w:rPr>
          <w:rFonts w:ascii="Times New Roman" w:hAnsi="Times New Roman" w:cs="Times New Roman"/>
          <w:sz w:val="24"/>
          <w:szCs w:val="24"/>
        </w:rPr>
        <w:t xml:space="preserve">doados </w:t>
      </w:r>
      <w:r w:rsidR="00580B9E">
        <w:rPr>
          <w:rFonts w:ascii="Times New Roman" w:hAnsi="Times New Roman" w:cs="Times New Roman"/>
          <w:sz w:val="24"/>
          <w:szCs w:val="24"/>
        </w:rPr>
        <w:t xml:space="preserve">ou ter a </w:t>
      </w:r>
      <w:r w:rsidR="00580B9E" w:rsidRPr="003B55CC">
        <w:rPr>
          <w:rFonts w:ascii="Times New Roman" w:hAnsi="Times New Roman" w:cs="Times New Roman"/>
          <w:sz w:val="24"/>
          <w:szCs w:val="24"/>
        </w:rPr>
        <w:t xml:space="preserve">transferência definitiva da propriedade </w:t>
      </w:r>
      <w:r w:rsidR="00FF34F0">
        <w:rPr>
          <w:rFonts w:ascii="Times New Roman" w:hAnsi="Times New Roman" w:cs="Times New Roman"/>
          <w:sz w:val="24"/>
          <w:szCs w:val="24"/>
        </w:rPr>
        <w:t xml:space="preserve">cedida </w:t>
      </w:r>
      <w:r w:rsidR="0076487D">
        <w:rPr>
          <w:rFonts w:ascii="Times New Roman" w:hAnsi="Times New Roman" w:cs="Times New Roman"/>
          <w:sz w:val="24"/>
          <w:szCs w:val="24"/>
        </w:rPr>
        <w:t xml:space="preserve">às instituições de ensino públicas </w:t>
      </w:r>
      <w:r w:rsidR="000C7624">
        <w:rPr>
          <w:rFonts w:ascii="Times New Roman" w:hAnsi="Times New Roman" w:cs="Times New Roman"/>
          <w:sz w:val="24"/>
          <w:szCs w:val="24"/>
        </w:rPr>
        <w:t xml:space="preserve">estaduais, através de requerimento da parte interessada. </w:t>
      </w:r>
    </w:p>
    <w:p w:rsidR="00B6544A" w:rsidRDefault="000C7624" w:rsidP="00FF34F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C7624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 - O requerimento, que deverá ser realizado pelo diretor da instituição de ensino pública do Estado do Maranhão, deverá ser endereçado à Corregedoria Geral de Justiça</w:t>
      </w:r>
      <w:r w:rsidR="00FF34F0">
        <w:rPr>
          <w:rFonts w:ascii="Times New Roman" w:hAnsi="Times New Roman" w:cs="Times New Roman"/>
          <w:sz w:val="24"/>
          <w:szCs w:val="24"/>
        </w:rPr>
        <w:t xml:space="preserve"> do Tribunal de Justiça do Estado do Maranhão</w:t>
      </w:r>
      <w:r>
        <w:rPr>
          <w:rFonts w:ascii="Times New Roman" w:hAnsi="Times New Roman" w:cs="Times New Roman"/>
          <w:sz w:val="24"/>
          <w:szCs w:val="24"/>
        </w:rPr>
        <w:t>, responsável pelo depósito judicial de bens, e conter a exposição fundamentada do pedido.</w:t>
      </w:r>
    </w:p>
    <w:p w:rsidR="000C7624" w:rsidRPr="003B55CC" w:rsidRDefault="000C7624" w:rsidP="00FF34F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55CC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B55CC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Pr="003B55CC">
        <w:rPr>
          <w:rFonts w:ascii="Times New Roman" w:hAnsi="Times New Roman" w:cs="Times New Roman"/>
          <w:sz w:val="24"/>
          <w:szCs w:val="24"/>
        </w:rPr>
        <w:t xml:space="preserve">- Após o deferimento do pedido </w:t>
      </w:r>
      <w:r>
        <w:rPr>
          <w:rFonts w:ascii="Times New Roman" w:hAnsi="Times New Roman" w:cs="Times New Roman"/>
          <w:sz w:val="24"/>
          <w:szCs w:val="24"/>
        </w:rPr>
        <w:t>de doação do bem</w:t>
      </w:r>
      <w:r w:rsidRPr="003B55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instituição de ensino </w:t>
      </w:r>
      <w:r w:rsidRPr="003B55CC">
        <w:rPr>
          <w:rFonts w:ascii="Times New Roman" w:hAnsi="Times New Roman" w:cs="Times New Roman"/>
          <w:sz w:val="24"/>
          <w:szCs w:val="24"/>
        </w:rPr>
        <w:t xml:space="preserve">para o qual foi destinado procederá a sua identificação para efeito de controle, ficando a manutenção e fiscalização de uso sob sua responsabilidade. </w:t>
      </w:r>
    </w:p>
    <w:p w:rsidR="000C7624" w:rsidRDefault="000C7624" w:rsidP="00FF34F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47E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47E6">
        <w:rPr>
          <w:rFonts w:ascii="Times New Roman" w:hAnsi="Times New Roman" w:cs="Times New Roman"/>
          <w:b/>
          <w:sz w:val="24"/>
          <w:szCs w:val="24"/>
        </w:rPr>
        <w:t>º</w:t>
      </w:r>
      <w:r w:rsidRPr="003A4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As instituições de ensino públicas </w:t>
      </w:r>
      <w:r w:rsidR="00580B9E">
        <w:rPr>
          <w:rFonts w:ascii="Times New Roman" w:hAnsi="Times New Roman" w:cs="Times New Roman"/>
          <w:sz w:val="24"/>
          <w:szCs w:val="24"/>
        </w:rPr>
        <w:t>maranhenses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terão prioridade sobre a</w:t>
      </w:r>
      <w:r w:rsidR="00580B9E">
        <w:rPr>
          <w:rFonts w:ascii="Times New Roman" w:hAnsi="Times New Roman" w:cs="Times New Roman"/>
          <w:sz w:val="24"/>
          <w:szCs w:val="24"/>
        </w:rPr>
        <w:t xml:space="preserve"> doação de </w:t>
      </w:r>
      <w:r w:rsidR="00580B9E" w:rsidRPr="00B6544A">
        <w:rPr>
          <w:rFonts w:ascii="Times New Roman" w:hAnsi="Times New Roman" w:cs="Times New Roman"/>
          <w:sz w:val="24"/>
          <w:szCs w:val="24"/>
        </w:rPr>
        <w:t>celulares,</w:t>
      </w:r>
      <w:r w:rsidR="00580B9E">
        <w:rPr>
          <w:rFonts w:ascii="Times New Roman" w:hAnsi="Times New Roman" w:cs="Times New Roman"/>
          <w:sz w:val="24"/>
          <w:szCs w:val="24"/>
        </w:rPr>
        <w:t xml:space="preserve"> </w:t>
      </w:r>
      <w:r w:rsidR="00580B9E" w:rsidRPr="00580B9E">
        <w:rPr>
          <w:rFonts w:ascii="Times New Roman" w:hAnsi="Times New Roman" w:cs="Times New Roman"/>
          <w:i/>
          <w:sz w:val="24"/>
          <w:szCs w:val="24"/>
        </w:rPr>
        <w:t>smartphones</w:t>
      </w:r>
      <w:r w:rsidR="00580B9E">
        <w:rPr>
          <w:rFonts w:ascii="Times New Roman" w:hAnsi="Times New Roman" w:cs="Times New Roman"/>
          <w:sz w:val="24"/>
          <w:szCs w:val="24"/>
        </w:rPr>
        <w:t>,</w:t>
      </w:r>
      <w:r w:rsidR="00580B9E" w:rsidRPr="00B6544A">
        <w:rPr>
          <w:rFonts w:ascii="Times New Roman" w:hAnsi="Times New Roman" w:cs="Times New Roman"/>
          <w:sz w:val="24"/>
          <w:szCs w:val="24"/>
        </w:rPr>
        <w:t xml:space="preserve"> tablets e notebooks</w:t>
      </w:r>
      <w:r w:rsidR="00580B9E">
        <w:rPr>
          <w:rFonts w:ascii="Times New Roman" w:hAnsi="Times New Roman" w:cs="Times New Roman"/>
          <w:sz w:val="24"/>
          <w:szCs w:val="24"/>
        </w:rPr>
        <w:t xml:space="preserve">, mas não </w:t>
      </w:r>
      <w:r>
        <w:rPr>
          <w:rFonts w:ascii="Times New Roman" w:hAnsi="Times New Roman" w:cs="Times New Roman"/>
          <w:sz w:val="24"/>
          <w:szCs w:val="24"/>
        </w:rPr>
        <w:t>havendo requisição d</w:t>
      </w:r>
      <w:r w:rsidR="00580B9E">
        <w:rPr>
          <w:rFonts w:ascii="Times New Roman" w:hAnsi="Times New Roman" w:cs="Times New Roman"/>
          <w:sz w:val="24"/>
          <w:szCs w:val="24"/>
        </w:rPr>
        <w:t xml:space="preserve">e diretores das instituições de ensino </w:t>
      </w:r>
      <w:r>
        <w:rPr>
          <w:rFonts w:ascii="Times New Roman" w:hAnsi="Times New Roman" w:cs="Times New Roman"/>
          <w:sz w:val="24"/>
          <w:szCs w:val="24"/>
        </w:rPr>
        <w:t xml:space="preserve">e demonstrado o interesse público, o juiz poderá </w:t>
      </w:r>
      <w:r w:rsidR="00FF34F0">
        <w:rPr>
          <w:rFonts w:ascii="Times New Roman" w:hAnsi="Times New Roman" w:cs="Times New Roman"/>
          <w:sz w:val="24"/>
          <w:szCs w:val="24"/>
        </w:rPr>
        <w:t xml:space="preserve">proceder a doação ou </w:t>
      </w:r>
      <w:r>
        <w:rPr>
          <w:rFonts w:ascii="Times New Roman" w:hAnsi="Times New Roman" w:cs="Times New Roman"/>
          <w:sz w:val="24"/>
          <w:szCs w:val="24"/>
        </w:rPr>
        <w:t>transfer</w:t>
      </w:r>
      <w:r w:rsidR="00FF34F0">
        <w:rPr>
          <w:rFonts w:ascii="Times New Roman" w:hAnsi="Times New Roman" w:cs="Times New Roman"/>
          <w:sz w:val="24"/>
          <w:szCs w:val="24"/>
        </w:rPr>
        <w:t>ência</w:t>
      </w:r>
      <w:r>
        <w:rPr>
          <w:rFonts w:ascii="Times New Roman" w:hAnsi="Times New Roman" w:cs="Times New Roman"/>
          <w:sz w:val="24"/>
          <w:szCs w:val="24"/>
        </w:rPr>
        <w:t xml:space="preserve"> definitivamente </w:t>
      </w:r>
      <w:r w:rsidR="00FF34F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bem para os</w:t>
      </w:r>
      <w:r w:rsidRPr="006523EF">
        <w:rPr>
          <w:rFonts w:ascii="Times New Roman" w:hAnsi="Times New Roman" w:cs="Times New Roman"/>
          <w:sz w:val="24"/>
          <w:szCs w:val="24"/>
        </w:rPr>
        <w:t xml:space="preserve"> demais órgãos públicos</w:t>
      </w:r>
      <w:r>
        <w:rPr>
          <w:rFonts w:ascii="Times New Roman" w:hAnsi="Times New Roman" w:cs="Times New Roman"/>
          <w:sz w:val="24"/>
          <w:szCs w:val="24"/>
        </w:rPr>
        <w:t xml:space="preserve"> do Estado do Maranhão</w:t>
      </w:r>
      <w:r w:rsidR="00FF34F0">
        <w:rPr>
          <w:rFonts w:ascii="Times New Roman" w:hAnsi="Times New Roman" w:cs="Times New Roman"/>
          <w:sz w:val="24"/>
          <w:szCs w:val="24"/>
        </w:rPr>
        <w:t>, caso haja requerimento destes</w:t>
      </w:r>
      <w:r w:rsidRPr="006523EF">
        <w:rPr>
          <w:rFonts w:ascii="Times New Roman" w:hAnsi="Times New Roman" w:cs="Times New Roman"/>
          <w:sz w:val="24"/>
          <w:szCs w:val="24"/>
        </w:rPr>
        <w:t>.</w:t>
      </w:r>
    </w:p>
    <w:p w:rsidR="00A2364E" w:rsidRDefault="003A47E6" w:rsidP="00BF131C">
      <w:pPr>
        <w:spacing w:after="0" w:line="36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F34F0">
        <w:rPr>
          <w:rFonts w:ascii="Times New Roman" w:hAnsi="Times New Roman" w:cs="Times New Roman"/>
          <w:b/>
          <w:sz w:val="24"/>
          <w:szCs w:val="24"/>
        </w:rPr>
        <w:t>4</w:t>
      </w:r>
      <w:r w:rsidR="00C46222" w:rsidRPr="00C46222">
        <w:rPr>
          <w:rFonts w:ascii="Times New Roman" w:hAnsi="Times New Roman" w:cs="Times New Roman"/>
          <w:b/>
          <w:sz w:val="24"/>
          <w:szCs w:val="24"/>
        </w:rPr>
        <w:t>º</w:t>
      </w:r>
      <w:r w:rsidR="00C46222">
        <w:rPr>
          <w:rFonts w:ascii="Times New Roman" w:hAnsi="Times New Roman" w:cs="Times New Roman"/>
          <w:sz w:val="24"/>
          <w:szCs w:val="24"/>
        </w:rPr>
        <w:t xml:space="preserve"> - Essa lei entra em vigor na data de sua publicação.</w:t>
      </w:r>
    </w:p>
    <w:p w:rsidR="00C8591A" w:rsidRDefault="00A77BBF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17E9924E" wp14:editId="395FF9C9">
            <wp:extent cx="1895475" cy="1371600"/>
            <wp:effectExtent l="0" t="0" r="9525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91A" w:rsidRDefault="00A77BBF" w:rsidP="006079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</w:t>
      </w:r>
      <w:r w:rsidR="00C8591A" w:rsidRPr="00C8591A">
        <w:rPr>
          <w:rFonts w:ascii="Times New Roman" w:hAnsi="Times New Roman" w:cs="Times New Roman"/>
          <w:b/>
          <w:sz w:val="24"/>
          <w:szCs w:val="24"/>
        </w:rPr>
        <w:t>USTIFICATIVA</w:t>
      </w:r>
    </w:p>
    <w:p w:rsidR="00C8591A" w:rsidRDefault="00C8591A" w:rsidP="00C8591A">
      <w:pPr>
        <w:pStyle w:val="Ttulo1"/>
        <w:tabs>
          <w:tab w:val="left" w:pos="7797"/>
        </w:tabs>
        <w:jc w:val="center"/>
        <w:rPr>
          <w:rFonts w:ascii="Times New Roman" w:hAnsi="Times New Roman"/>
        </w:rPr>
      </w:pPr>
    </w:p>
    <w:p w:rsidR="00C46222" w:rsidRDefault="00E04C17" w:rsidP="00C4622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</w:t>
      </w:r>
      <w:r w:rsidR="00C8591A">
        <w:rPr>
          <w:rFonts w:ascii="Times New Roman" w:eastAsia="Arial Unicode MS" w:hAnsi="Times New Roman" w:cs="Times New Roman"/>
          <w:sz w:val="24"/>
          <w:szCs w:val="24"/>
        </w:rPr>
        <w:t xml:space="preserve"> projeto de lei ora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enviado para apreciação desta Casa, dispõe </w:t>
      </w:r>
      <w:r w:rsidR="00E55539">
        <w:rPr>
          <w:rFonts w:ascii="Times New Roman" w:eastAsia="Arial Unicode MS" w:hAnsi="Times New Roman" w:cs="Times New Roman"/>
          <w:sz w:val="24"/>
          <w:szCs w:val="24"/>
        </w:rPr>
        <w:t xml:space="preserve">sobre </w:t>
      </w:r>
      <w:r w:rsidR="007C4155" w:rsidRPr="00BF131C">
        <w:rPr>
          <w:rFonts w:ascii="Times New Roman" w:eastAsia="Arial Unicode MS" w:hAnsi="Times New Roman" w:cs="Times New Roman"/>
          <w:sz w:val="24"/>
          <w:szCs w:val="24"/>
        </w:rPr>
        <w:t xml:space="preserve">estabelece a doação de celulares, </w:t>
      </w:r>
      <w:r w:rsidR="007C4155" w:rsidRPr="007C4155">
        <w:rPr>
          <w:rFonts w:ascii="Times New Roman" w:eastAsia="Arial Unicode MS" w:hAnsi="Times New Roman" w:cs="Times New Roman"/>
          <w:i/>
          <w:sz w:val="24"/>
          <w:szCs w:val="24"/>
        </w:rPr>
        <w:t>smartphones</w:t>
      </w:r>
      <w:r w:rsidR="007C4155" w:rsidRPr="00BF131C">
        <w:rPr>
          <w:rFonts w:ascii="Times New Roman" w:eastAsia="Arial Unicode MS" w:hAnsi="Times New Roman" w:cs="Times New Roman"/>
          <w:sz w:val="24"/>
          <w:szCs w:val="24"/>
        </w:rPr>
        <w:t xml:space="preserve">, tablets e notebooks apreendidos pelas </w:t>
      </w:r>
      <w:r w:rsidR="007C4155">
        <w:rPr>
          <w:rFonts w:ascii="Times New Roman" w:eastAsia="Arial Unicode MS" w:hAnsi="Times New Roman" w:cs="Times New Roman"/>
          <w:sz w:val="24"/>
          <w:szCs w:val="24"/>
        </w:rPr>
        <w:t>P</w:t>
      </w:r>
      <w:r w:rsidR="007C4155" w:rsidRPr="00BF131C">
        <w:rPr>
          <w:rFonts w:ascii="Times New Roman" w:eastAsia="Arial Unicode MS" w:hAnsi="Times New Roman" w:cs="Times New Roman"/>
          <w:sz w:val="24"/>
          <w:szCs w:val="24"/>
        </w:rPr>
        <w:t xml:space="preserve">olícias </w:t>
      </w:r>
      <w:r w:rsidR="007C4155">
        <w:rPr>
          <w:rFonts w:ascii="Times New Roman" w:eastAsia="Arial Unicode MS" w:hAnsi="Times New Roman" w:cs="Times New Roman"/>
          <w:sz w:val="24"/>
          <w:szCs w:val="24"/>
        </w:rPr>
        <w:t>C</w:t>
      </w:r>
      <w:r w:rsidR="007C4155" w:rsidRPr="00BF131C">
        <w:rPr>
          <w:rFonts w:ascii="Times New Roman" w:eastAsia="Arial Unicode MS" w:hAnsi="Times New Roman" w:cs="Times New Roman"/>
          <w:sz w:val="24"/>
          <w:szCs w:val="24"/>
        </w:rPr>
        <w:t xml:space="preserve">ivil e </w:t>
      </w:r>
      <w:r w:rsidR="007C4155">
        <w:rPr>
          <w:rFonts w:ascii="Times New Roman" w:eastAsia="Arial Unicode MS" w:hAnsi="Times New Roman" w:cs="Times New Roman"/>
          <w:sz w:val="24"/>
          <w:szCs w:val="24"/>
        </w:rPr>
        <w:t>M</w:t>
      </w:r>
      <w:r w:rsidR="007C4155" w:rsidRPr="00BF131C">
        <w:rPr>
          <w:rFonts w:ascii="Times New Roman" w:eastAsia="Arial Unicode MS" w:hAnsi="Times New Roman" w:cs="Times New Roman"/>
          <w:sz w:val="24"/>
          <w:szCs w:val="24"/>
        </w:rPr>
        <w:t xml:space="preserve">ilitar do </w:t>
      </w:r>
      <w:r w:rsidR="007C4155">
        <w:rPr>
          <w:rFonts w:ascii="Times New Roman" w:eastAsia="Arial Unicode MS" w:hAnsi="Times New Roman" w:cs="Times New Roman"/>
          <w:sz w:val="24"/>
          <w:szCs w:val="24"/>
        </w:rPr>
        <w:t>E</w:t>
      </w:r>
      <w:r w:rsidR="007C4155" w:rsidRPr="00BF131C">
        <w:rPr>
          <w:rFonts w:ascii="Times New Roman" w:eastAsia="Arial Unicode MS" w:hAnsi="Times New Roman" w:cs="Times New Roman"/>
          <w:sz w:val="24"/>
          <w:szCs w:val="24"/>
        </w:rPr>
        <w:t>stado</w:t>
      </w:r>
      <w:r w:rsidR="007C4155">
        <w:rPr>
          <w:rFonts w:ascii="Times New Roman" w:eastAsia="Arial Unicode MS" w:hAnsi="Times New Roman" w:cs="Times New Roman"/>
          <w:sz w:val="24"/>
          <w:szCs w:val="24"/>
        </w:rPr>
        <w:t xml:space="preserve"> do Maranhão</w:t>
      </w:r>
      <w:r w:rsidR="007C4155" w:rsidRPr="00BF131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C4155">
        <w:rPr>
          <w:rFonts w:ascii="Times New Roman" w:eastAsia="Arial Unicode MS" w:hAnsi="Times New Roman" w:cs="Times New Roman"/>
          <w:sz w:val="24"/>
          <w:szCs w:val="24"/>
        </w:rPr>
        <w:t>à</w:t>
      </w:r>
      <w:r w:rsidR="007C4155" w:rsidRPr="00BF131C">
        <w:rPr>
          <w:rFonts w:ascii="Times New Roman" w:eastAsia="Arial Unicode MS" w:hAnsi="Times New Roman" w:cs="Times New Roman"/>
          <w:sz w:val="24"/>
          <w:szCs w:val="24"/>
        </w:rPr>
        <w:t xml:space="preserve"> rede pública de ensino</w:t>
      </w:r>
      <w:r w:rsidR="007C4155">
        <w:rPr>
          <w:rFonts w:ascii="Times New Roman" w:eastAsia="Arial Unicode MS" w:hAnsi="Times New Roman" w:cs="Times New Roman"/>
          <w:sz w:val="24"/>
          <w:szCs w:val="24"/>
        </w:rPr>
        <w:t xml:space="preserve"> maranhense. </w:t>
      </w:r>
    </w:p>
    <w:p w:rsidR="00607921" w:rsidRPr="007A3C08" w:rsidRDefault="00C46222" w:rsidP="007A3C0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46222">
        <w:rPr>
          <w:rFonts w:ascii="Times New Roman" w:eastAsia="Arial Unicode MS" w:hAnsi="Times New Roman" w:cs="Times New Roman"/>
          <w:sz w:val="24"/>
          <w:szCs w:val="24"/>
        </w:rPr>
        <w:t>O objetivo deste projeto d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e lei é regulamentar a matéria, oferecendo </w:t>
      </w:r>
      <w:r w:rsidR="007C4155">
        <w:rPr>
          <w:rFonts w:ascii="Times New Roman" w:eastAsia="Arial Unicode MS" w:hAnsi="Times New Roman" w:cs="Times New Roman"/>
          <w:sz w:val="24"/>
          <w:szCs w:val="24"/>
        </w:rPr>
        <w:t>às instituições de ensino públicas do Maranhão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C46222">
        <w:rPr>
          <w:rFonts w:ascii="Times New Roman" w:eastAsia="Arial Unicode MS" w:hAnsi="Times New Roman" w:cs="Times New Roman"/>
          <w:sz w:val="24"/>
          <w:szCs w:val="24"/>
        </w:rPr>
        <w:t xml:space="preserve"> subsídio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46222">
        <w:rPr>
          <w:rFonts w:ascii="Times New Roman" w:eastAsia="Arial Unicode MS" w:hAnsi="Times New Roman" w:cs="Times New Roman"/>
          <w:sz w:val="24"/>
          <w:szCs w:val="24"/>
        </w:rPr>
        <w:t xml:space="preserve">material para o </w:t>
      </w:r>
      <w:r w:rsidRPr="007A3C08">
        <w:rPr>
          <w:rFonts w:ascii="Times New Roman" w:eastAsia="Arial Unicode MS" w:hAnsi="Times New Roman" w:cs="Times New Roman"/>
          <w:sz w:val="24"/>
          <w:szCs w:val="24"/>
        </w:rPr>
        <w:t xml:space="preserve">exercício de suas </w:t>
      </w:r>
      <w:r w:rsidR="007C4155">
        <w:rPr>
          <w:rFonts w:ascii="Times New Roman" w:eastAsia="Arial Unicode MS" w:hAnsi="Times New Roman" w:cs="Times New Roman"/>
          <w:sz w:val="24"/>
          <w:szCs w:val="24"/>
        </w:rPr>
        <w:t>atribuições</w:t>
      </w:r>
      <w:r w:rsidRPr="007A3C08">
        <w:rPr>
          <w:rFonts w:ascii="Times New Roman" w:eastAsia="Arial Unicode MS" w:hAnsi="Times New Roman" w:cs="Times New Roman"/>
          <w:sz w:val="24"/>
          <w:szCs w:val="24"/>
        </w:rPr>
        <w:t xml:space="preserve">, ao mesmo tempo em que conferiria uma destinação útil a </w:t>
      </w:r>
      <w:proofErr w:type="gramStart"/>
      <w:r w:rsidR="007C4155">
        <w:rPr>
          <w:rFonts w:ascii="Times New Roman" w:eastAsia="Arial Unicode MS" w:hAnsi="Times New Roman" w:cs="Times New Roman"/>
          <w:sz w:val="24"/>
          <w:szCs w:val="24"/>
        </w:rPr>
        <w:t>inúmero</w:t>
      </w:r>
      <w:r w:rsidRPr="007A3C0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C4155">
        <w:rPr>
          <w:rFonts w:ascii="Times New Roman" w:eastAsia="Arial Unicode MS" w:hAnsi="Times New Roman" w:cs="Times New Roman"/>
          <w:sz w:val="24"/>
          <w:szCs w:val="24"/>
        </w:rPr>
        <w:t>celulares</w:t>
      </w:r>
      <w:proofErr w:type="gramEnd"/>
      <w:r w:rsidR="007C4155">
        <w:rPr>
          <w:rFonts w:ascii="Times New Roman" w:eastAsia="Arial Unicode MS" w:hAnsi="Times New Roman" w:cs="Times New Roman"/>
          <w:sz w:val="24"/>
          <w:szCs w:val="24"/>
        </w:rPr>
        <w:t>, smartphones, tablets e notebooks apreendidos</w:t>
      </w:r>
      <w:r w:rsidRPr="007A3C08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7A3C08" w:rsidRPr="007A3C08">
        <w:rPr>
          <w:rFonts w:ascii="Times New Roman" w:hAnsi="Times New Roman" w:cs="Times New Roman"/>
          <w:sz w:val="24"/>
          <w:szCs w:val="24"/>
        </w:rPr>
        <w:t xml:space="preserve">O princípio do interesse público vindica finalidade e serventia a </w:t>
      </w:r>
      <w:r w:rsidR="007C4155">
        <w:rPr>
          <w:rFonts w:ascii="Times New Roman" w:hAnsi="Times New Roman" w:cs="Times New Roman"/>
          <w:sz w:val="24"/>
          <w:szCs w:val="24"/>
        </w:rPr>
        <w:t>esses bens</w:t>
      </w:r>
      <w:r w:rsidR="007A3C08" w:rsidRPr="007A3C08">
        <w:rPr>
          <w:rFonts w:ascii="Times New Roman" w:hAnsi="Times New Roman" w:cs="Times New Roman"/>
          <w:sz w:val="24"/>
          <w:szCs w:val="24"/>
        </w:rPr>
        <w:t xml:space="preserve"> que, por sua própria natureza, deterioram-se sem uso. Nada mais razoável que</w:t>
      </w:r>
      <w:r w:rsidR="007C4155">
        <w:rPr>
          <w:rFonts w:ascii="Times New Roman" w:hAnsi="Times New Roman" w:cs="Times New Roman"/>
          <w:sz w:val="24"/>
          <w:szCs w:val="24"/>
        </w:rPr>
        <w:t xml:space="preserve"> estejam </w:t>
      </w:r>
      <w:r w:rsidR="007A3C08" w:rsidRPr="007A3C08">
        <w:rPr>
          <w:rFonts w:ascii="Times New Roman" w:hAnsi="Times New Roman" w:cs="Times New Roman"/>
          <w:sz w:val="24"/>
          <w:szCs w:val="24"/>
        </w:rPr>
        <w:t>à disposição da</w:t>
      </w:r>
      <w:r w:rsidR="007C4155">
        <w:rPr>
          <w:rFonts w:ascii="Times New Roman" w:hAnsi="Times New Roman" w:cs="Times New Roman"/>
          <w:sz w:val="24"/>
          <w:szCs w:val="24"/>
        </w:rPr>
        <w:t>s instituições de ensino públicas</w:t>
      </w:r>
      <w:r w:rsidR="007A3C08" w:rsidRPr="007A3C08">
        <w:rPr>
          <w:rFonts w:ascii="Times New Roman" w:hAnsi="Times New Roman" w:cs="Times New Roman"/>
          <w:sz w:val="24"/>
          <w:szCs w:val="24"/>
        </w:rPr>
        <w:t xml:space="preserve"> e, como tal, sejam utilizados em finalidades sociais do Estado</w:t>
      </w:r>
      <w:r w:rsidR="007C4155">
        <w:rPr>
          <w:rFonts w:ascii="Times New Roman" w:hAnsi="Times New Roman" w:cs="Times New Roman"/>
          <w:sz w:val="24"/>
          <w:szCs w:val="24"/>
        </w:rPr>
        <w:t>.</w:t>
      </w:r>
    </w:p>
    <w:p w:rsidR="007A3C08" w:rsidRDefault="007A3C08" w:rsidP="00C4622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No que se refere à constitucionalidade da proposição, tem-se que a disposição considera o trânsito em julgado da </w:t>
      </w:r>
      <w:r w:rsidR="00167E27">
        <w:rPr>
          <w:rFonts w:ascii="Times New Roman" w:eastAsia="Arial Unicode MS" w:hAnsi="Times New Roman" w:cs="Times New Roman"/>
          <w:sz w:val="24"/>
          <w:szCs w:val="24"/>
        </w:rPr>
        <w:t xml:space="preserve">manifestação judicial que determinou o perdimento de bens para que os dirigentes das forças de segurança pública possam fazer a requisição, respeitando, assim, o art. 5º, LIV, da Constituição Federal, que traz como garantia fundamental que ninguém será privado dos seus bens sem o devido processo legal. Ainda, a transferência definitiva da propriedade ao Estado dos </w:t>
      </w:r>
      <w:r w:rsidR="007C4155">
        <w:rPr>
          <w:rFonts w:ascii="Times New Roman" w:eastAsia="Arial Unicode MS" w:hAnsi="Times New Roman" w:cs="Times New Roman"/>
          <w:sz w:val="24"/>
          <w:szCs w:val="24"/>
        </w:rPr>
        <w:t>bens</w:t>
      </w:r>
      <w:r w:rsidR="00167E27">
        <w:rPr>
          <w:rFonts w:ascii="Times New Roman" w:eastAsia="Arial Unicode MS" w:hAnsi="Times New Roman" w:cs="Times New Roman"/>
          <w:sz w:val="24"/>
          <w:szCs w:val="24"/>
        </w:rPr>
        <w:t xml:space="preserve"> que foram utilizados em ações criminosas encontra amparo em outra</w:t>
      </w:r>
      <w:r w:rsidR="007C4155">
        <w:rPr>
          <w:rFonts w:ascii="Times New Roman" w:eastAsia="Arial Unicode MS" w:hAnsi="Times New Roman" w:cs="Times New Roman"/>
          <w:sz w:val="24"/>
          <w:szCs w:val="24"/>
        </w:rPr>
        <w:t>s</w:t>
      </w:r>
      <w:r w:rsidR="00167E27">
        <w:rPr>
          <w:rFonts w:ascii="Times New Roman" w:eastAsia="Arial Unicode MS" w:hAnsi="Times New Roman" w:cs="Times New Roman"/>
          <w:sz w:val="24"/>
          <w:szCs w:val="24"/>
        </w:rPr>
        <w:t xml:space="preserve"> norma</w:t>
      </w:r>
      <w:r w:rsidR="007C4155">
        <w:rPr>
          <w:rFonts w:ascii="Times New Roman" w:eastAsia="Arial Unicode MS" w:hAnsi="Times New Roman" w:cs="Times New Roman"/>
          <w:sz w:val="24"/>
          <w:szCs w:val="24"/>
        </w:rPr>
        <w:t>s</w:t>
      </w:r>
      <w:r w:rsidR="00167E27">
        <w:rPr>
          <w:rFonts w:ascii="Times New Roman" w:eastAsia="Arial Unicode MS" w:hAnsi="Times New Roman" w:cs="Times New Roman"/>
          <w:sz w:val="24"/>
          <w:szCs w:val="24"/>
        </w:rPr>
        <w:t xml:space="preserve"> do ordenamento jurídico brasileiro, tal como o art. 133-A, § 4º, do Código de Processo Penal –</w:t>
      </w:r>
      <w:r w:rsidR="00167E27" w:rsidRPr="00167E2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67E27">
        <w:rPr>
          <w:rFonts w:ascii="Times New Roman" w:eastAsia="Arial Unicode MS" w:hAnsi="Times New Roman" w:cs="Times New Roman"/>
          <w:sz w:val="24"/>
          <w:szCs w:val="24"/>
        </w:rPr>
        <w:t>“</w:t>
      </w:r>
      <w:r w:rsidR="00167E27" w:rsidRPr="00167E27">
        <w:rPr>
          <w:rFonts w:ascii="Times New Roman" w:eastAsia="Arial Unicode MS" w:hAnsi="Times New Roman" w:cs="Times New Roman"/>
          <w:sz w:val="24"/>
          <w:szCs w:val="24"/>
        </w:rPr>
        <w:t>Transitada em julgado a sentença penal condenatória com a decretação de perdimento dos bens, ressalvado o direito do lesado ou terceiro de boa-fé, o juiz poderá determinar a transferência definitiva da propriedade ao órgão público beneficiário ao qual foi custodiado o bem</w:t>
      </w:r>
      <w:r w:rsidR="00167E27">
        <w:rPr>
          <w:rFonts w:ascii="Times New Roman" w:eastAsia="Arial Unicode MS" w:hAnsi="Times New Roman" w:cs="Times New Roman"/>
          <w:sz w:val="24"/>
          <w:szCs w:val="24"/>
        </w:rPr>
        <w:t>”.</w:t>
      </w:r>
      <w:r w:rsidR="007C4155">
        <w:rPr>
          <w:rFonts w:ascii="Times New Roman" w:eastAsia="Arial Unicode MS" w:hAnsi="Times New Roman" w:cs="Times New Roman"/>
          <w:sz w:val="24"/>
          <w:szCs w:val="24"/>
        </w:rPr>
        <w:t xml:space="preserve"> Além disso, tem-se que o Manual de Bens Apreendidos do Conselho Nacional de Justiça – CNJ, assim dispõe sobre essa possibilidade: </w:t>
      </w:r>
    </w:p>
    <w:p w:rsidR="007C4155" w:rsidRPr="007C4155" w:rsidRDefault="007C4155" w:rsidP="007C4155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C4155">
        <w:rPr>
          <w:rFonts w:ascii="Times New Roman" w:hAnsi="Times New Roman" w:cs="Times New Roman"/>
          <w:sz w:val="20"/>
          <w:szCs w:val="20"/>
        </w:rPr>
        <w:t xml:space="preserve">DESTINAÇÃO EQUIPAMENTOS APREENDIDOS </w:t>
      </w:r>
    </w:p>
    <w:p w:rsidR="007C4155" w:rsidRPr="007C4155" w:rsidRDefault="007C4155" w:rsidP="002056B2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C4155">
        <w:rPr>
          <w:rFonts w:ascii="Times New Roman" w:hAnsi="Times New Roman" w:cs="Times New Roman"/>
          <w:sz w:val="20"/>
          <w:szCs w:val="20"/>
        </w:rPr>
        <w:t>N</w:t>
      </w:r>
      <w:r w:rsidRPr="007C4155">
        <w:rPr>
          <w:rFonts w:ascii="Times New Roman" w:hAnsi="Times New Roman" w:cs="Times New Roman"/>
          <w:sz w:val="20"/>
          <w:szCs w:val="20"/>
        </w:rPr>
        <w:t xml:space="preserve">o caso de equipamentos de informática apreendidos, </w:t>
      </w:r>
      <w:r w:rsidRPr="007C4155">
        <w:rPr>
          <w:rFonts w:ascii="Times New Roman" w:hAnsi="Times New Roman" w:cs="Times New Roman"/>
          <w:sz w:val="20"/>
          <w:szCs w:val="20"/>
        </w:rPr>
        <w:t>(...)</w:t>
      </w:r>
      <w:r w:rsidRPr="007C4155">
        <w:rPr>
          <w:rFonts w:ascii="Times New Roman" w:hAnsi="Times New Roman" w:cs="Times New Roman"/>
          <w:sz w:val="20"/>
          <w:szCs w:val="20"/>
        </w:rPr>
        <w:t xml:space="preserve"> as doações poderão ser feitas para a rede de ensino público ou para entidades assistenciais. Como os equipamentos já não são novos e poderão exigir serviços de configuração </w:t>
      </w:r>
      <w:r w:rsidRPr="007C4155">
        <w:rPr>
          <w:rFonts w:ascii="Times New Roman" w:hAnsi="Times New Roman" w:cs="Times New Roman"/>
          <w:sz w:val="20"/>
          <w:szCs w:val="20"/>
        </w:rPr>
        <w:lastRenderedPageBreak/>
        <w:t>ou manutenção para serem postos em uso, vale conferir as condições da entidade para isso.</w:t>
      </w:r>
      <w:r>
        <w:rPr>
          <w:rFonts w:ascii="Times New Roman" w:hAnsi="Times New Roman" w:cs="Times New Roman"/>
          <w:sz w:val="20"/>
          <w:szCs w:val="20"/>
        </w:rPr>
        <w:t xml:space="preserve"> (CONSELHO NACIONAL DE JUSTIÇA, p. 25, 2011)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1"/>
      </w:r>
    </w:p>
    <w:p w:rsidR="002056B2" w:rsidRDefault="002056B2" w:rsidP="002056B2">
      <w:pPr>
        <w:pStyle w:val="artigo"/>
        <w:spacing w:before="0" w:beforeAutospacing="0" w:after="240" w:afterAutospacing="0" w:line="360" w:lineRule="auto"/>
        <w:ind w:firstLine="1134"/>
        <w:jc w:val="both"/>
        <w:rPr>
          <w:bCs/>
        </w:rPr>
      </w:pPr>
      <w:r>
        <w:rPr>
          <w:bCs/>
        </w:rPr>
        <w:t>Ademais, tem-se que o</w:t>
      </w:r>
      <w:r>
        <w:rPr>
          <w:bCs/>
        </w:rPr>
        <w:t xml:space="preserve"> Estado do Maranhão não </w:t>
      </w:r>
      <w:r w:rsidRPr="00D50CD3">
        <w:rPr>
          <w:bCs/>
        </w:rPr>
        <w:t>está legislando sobre Processo Civil</w:t>
      </w:r>
      <w:r>
        <w:rPr>
          <w:bCs/>
        </w:rPr>
        <w:t xml:space="preserve"> ou Processo Penal, que são matérias</w:t>
      </w:r>
      <w:r w:rsidRPr="00D50CD3">
        <w:rPr>
          <w:bCs/>
        </w:rPr>
        <w:t xml:space="preserve"> de </w:t>
      </w:r>
      <w:r>
        <w:rPr>
          <w:bCs/>
        </w:rPr>
        <w:t>competência privativa da União, conforme art. 22, I, da Constituição da República</w:t>
      </w:r>
      <w:r w:rsidRPr="00D50CD3">
        <w:rPr>
          <w:bCs/>
        </w:rPr>
        <w:t>.</w:t>
      </w:r>
      <w:r>
        <w:rPr>
          <w:bCs/>
        </w:rPr>
        <w:t xml:space="preserve"> Esse projeto de lei ordinária versa sobre </w:t>
      </w:r>
      <w:r w:rsidRPr="00D50CD3">
        <w:rPr>
          <w:b/>
          <w:bCs/>
        </w:rPr>
        <w:t>procedimentos</w:t>
      </w:r>
      <w:r>
        <w:rPr>
          <w:bCs/>
        </w:rPr>
        <w:t>, que são de competência concorrente entre União, Estados e Distrito Federal, de acordo com o art. 22, XI, da Constituição Federal. Theodoro Júnior (2015, p. 156)</w:t>
      </w:r>
      <w:r>
        <w:rPr>
          <w:rStyle w:val="Refdenotaderodap"/>
        </w:rPr>
        <w:footnoteReference w:id="2"/>
      </w:r>
      <w:r>
        <w:rPr>
          <w:bCs/>
        </w:rPr>
        <w:t xml:space="preserve"> explica as diferenças:</w:t>
      </w:r>
    </w:p>
    <w:p w:rsidR="002056B2" w:rsidRPr="00D92B66" w:rsidRDefault="002056B2" w:rsidP="002056B2">
      <w:pPr>
        <w:shd w:val="clear" w:color="auto" w:fill="FFFFFF"/>
        <w:spacing w:after="0"/>
        <w:ind w:left="2268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D92B66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Processo e procedimento são conceitos diversos e que os processualistas não confundem.</w:t>
      </w:r>
    </w:p>
    <w:p w:rsidR="002056B2" w:rsidRPr="00D92B66" w:rsidRDefault="002056B2" w:rsidP="002056B2">
      <w:pPr>
        <w:shd w:val="clear" w:color="auto" w:fill="FFFFFF"/>
        <w:spacing w:after="0"/>
        <w:ind w:left="22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92B66">
        <w:rPr>
          <w:rFonts w:ascii="Times New Roman" w:eastAsia="Times New Roman" w:hAnsi="Times New Roman" w:cs="Times New Roman"/>
          <w:color w:val="333333"/>
          <w:sz w:val="20"/>
          <w:szCs w:val="20"/>
        </w:rPr>
        <w:t>Processo, como já se afirmou, é o método, isto é, o sistema de compor a lide em juízo através de uma relação jurídica vinculativa de direito público, enquanto procedimento é a forma material com que o processo se realiza em cada caso concreto.</w:t>
      </w:r>
    </w:p>
    <w:p w:rsidR="002056B2" w:rsidRPr="00D92B66" w:rsidRDefault="002056B2" w:rsidP="002056B2">
      <w:pPr>
        <w:shd w:val="clear" w:color="auto" w:fill="FFFFFF"/>
        <w:spacing w:after="0"/>
        <w:ind w:left="22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92B66">
        <w:rPr>
          <w:rFonts w:ascii="Times New Roman" w:eastAsia="Times New Roman" w:hAnsi="Times New Roman" w:cs="Times New Roman"/>
          <w:color w:val="333333"/>
          <w:sz w:val="20"/>
          <w:szCs w:val="20"/>
        </w:rPr>
        <w:t>(...)</w:t>
      </w:r>
    </w:p>
    <w:p w:rsidR="002056B2" w:rsidRPr="00D92B66" w:rsidRDefault="002056B2" w:rsidP="002056B2">
      <w:pPr>
        <w:shd w:val="clear" w:color="auto" w:fill="FFFFFF"/>
        <w:spacing w:after="0"/>
        <w:ind w:left="22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92B66">
        <w:rPr>
          <w:rFonts w:ascii="Times New Roman" w:eastAsia="Times New Roman" w:hAnsi="Times New Roman" w:cs="Times New Roman"/>
          <w:color w:val="333333"/>
          <w:sz w:val="20"/>
          <w:szCs w:val="20"/>
        </w:rPr>
        <w:t>O processo, outrossim, não se submete a uma única forma. Exterioriza-se de várias maneiras diferentes, conforme as particularidades da pretensão do autor e da defesa do réu. Uma ação de cobrança não se desenvolve, obviamente, como uma de inventário e nem muito menos como uma possessória. O modo próprio de desenvolver-se o processo, conforme as exigências de cada caso, é exatamente o procedimento do feito, isto é, o seu rito.</w:t>
      </w:r>
    </w:p>
    <w:p w:rsidR="002056B2" w:rsidRPr="00D92B66" w:rsidRDefault="002056B2" w:rsidP="002056B2">
      <w:pPr>
        <w:shd w:val="clear" w:color="auto" w:fill="FFFFFF"/>
        <w:spacing w:after="0"/>
        <w:ind w:left="22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92B66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É o procedimento, de tal sorte, que dá exterioridade ao processo, ou à relação processual, revelando-lhe o modus faciendi com que se vai atingir o escopo da tutela jurisdicional. Em outras palavras, é o procedimento que, nos diferentes tipos de demanda, define e ordena os diversos atos processuais necessários</w:t>
      </w:r>
      <w:r w:rsidRPr="00D92B66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2056B2" w:rsidRDefault="002056B2" w:rsidP="002056B2">
      <w:pPr>
        <w:pStyle w:val="artigo"/>
        <w:spacing w:before="0" w:beforeAutospacing="0" w:after="0" w:afterAutospacing="0" w:line="360" w:lineRule="auto"/>
        <w:ind w:firstLine="1134"/>
        <w:jc w:val="both"/>
        <w:rPr>
          <w:bCs/>
        </w:rPr>
      </w:pPr>
    </w:p>
    <w:p w:rsidR="002056B2" w:rsidRDefault="002056B2" w:rsidP="002056B2">
      <w:pPr>
        <w:pStyle w:val="artigo"/>
        <w:spacing w:before="0" w:beforeAutospacing="0" w:after="240" w:afterAutospacing="0" w:line="360" w:lineRule="auto"/>
        <w:ind w:firstLine="1134"/>
        <w:jc w:val="both"/>
      </w:pPr>
      <w:r>
        <w:rPr>
          <w:bCs/>
        </w:rPr>
        <w:t xml:space="preserve">Sendo assim, </w:t>
      </w:r>
      <w:r w:rsidRPr="00D50CD3">
        <w:rPr>
          <w:bCs/>
        </w:rPr>
        <w:t>cabe à Uniã</w:t>
      </w:r>
      <w:r>
        <w:rPr>
          <w:bCs/>
        </w:rPr>
        <w:t xml:space="preserve">o estabelecer as normas gerais </w:t>
      </w:r>
      <w:r w:rsidRPr="00D50CD3">
        <w:rPr>
          <w:bCs/>
        </w:rPr>
        <w:t>e os Estados têm competência para</w:t>
      </w:r>
      <w:r>
        <w:rPr>
          <w:bCs/>
        </w:rPr>
        <w:t xml:space="preserve"> legislar de forma suplementar</w:t>
      </w:r>
      <w:r w:rsidRPr="00D50CD3">
        <w:rPr>
          <w:bCs/>
        </w:rPr>
        <w:t>,</w:t>
      </w:r>
      <w:r>
        <w:rPr>
          <w:bCs/>
        </w:rPr>
        <w:t xml:space="preserve"> complementando as</w:t>
      </w:r>
      <w:r w:rsidRPr="00D50CD3">
        <w:rPr>
          <w:bCs/>
        </w:rPr>
        <w:t xml:space="preserve"> normas gerais</w:t>
      </w:r>
      <w:r>
        <w:rPr>
          <w:bCs/>
        </w:rPr>
        <w:t xml:space="preserve"> sem contrariá-las</w:t>
      </w:r>
      <w:r w:rsidRPr="00D50CD3">
        <w:rPr>
          <w:bCs/>
        </w:rPr>
        <w:t>.</w:t>
      </w:r>
      <w:r>
        <w:rPr>
          <w:bCs/>
        </w:rPr>
        <w:t xml:space="preserve"> A proposição não está em dissonância com o Código de Processo Civil e tampouco o Código de Processo Penal (que, no caso, são as normas gerais). Pelo contrário, está </w:t>
      </w:r>
      <w:r w:rsidRPr="00D50CD3">
        <w:rPr>
          <w:bCs/>
          <w:i/>
        </w:rPr>
        <w:t>pari passu</w:t>
      </w:r>
      <w:r>
        <w:rPr>
          <w:bCs/>
        </w:rPr>
        <w:t xml:space="preserve"> ao que esses diplomas normativos determinam, </w:t>
      </w:r>
      <w:r>
        <w:rPr>
          <w:bCs/>
        </w:rPr>
        <w:t xml:space="preserve">conforme </w:t>
      </w:r>
      <w:r>
        <w:rPr>
          <w:bCs/>
        </w:rPr>
        <w:lastRenderedPageBreak/>
        <w:t xml:space="preserve">explicado acima. </w:t>
      </w:r>
      <w:r>
        <w:t xml:space="preserve">A possibilidade </w:t>
      </w:r>
      <w:proofErr w:type="gramStart"/>
      <w:r>
        <w:t>dos</w:t>
      </w:r>
      <w:proofErr w:type="gramEnd"/>
      <w:r>
        <w:t xml:space="preserve"> Estados legislarem sobre procedimento é reconhecida pela jurisprudência do Supremo Tribunal Federal: </w:t>
      </w:r>
    </w:p>
    <w:p w:rsidR="002056B2" w:rsidRDefault="002056B2" w:rsidP="002056B2">
      <w:pPr>
        <w:pStyle w:val="artigo"/>
        <w:spacing w:before="0" w:beforeAutospacing="0" w:after="0" w:afterAutospacing="0"/>
        <w:ind w:left="2268"/>
        <w:jc w:val="both"/>
        <w:rPr>
          <w:color w:val="000000"/>
          <w:sz w:val="20"/>
          <w:szCs w:val="20"/>
        </w:rPr>
      </w:pPr>
      <w:r w:rsidRPr="00D92B66">
        <w:rPr>
          <w:color w:val="000000"/>
          <w:sz w:val="20"/>
          <w:szCs w:val="20"/>
        </w:rPr>
        <w:t>(...) a prerrogativa de legislar sobre procedimentos possui também o condão de transformar os Estados em verdadeiros laboratórios legislativos. Ao conceder-se aos Entes federados o poder de regular o procedimento de uma matéria, baseando-se em peculiaridades próprias, está a possibilitar-se que novas e exitosas experiências sejam formuladas. Os Estados passariam a ser partícipes importantes no desenvolvimento do direito nacional e a atuar ativamente na construção de possíveis experiências que poderão ser adotadas por outros Entes</w:t>
      </w:r>
      <w:r>
        <w:rPr>
          <w:color w:val="000000"/>
          <w:sz w:val="20"/>
          <w:szCs w:val="20"/>
        </w:rPr>
        <w:t xml:space="preserve"> ou em todo território federal.</w:t>
      </w:r>
      <w:r w:rsidRPr="00D92B66">
        <w:rPr>
          <w:color w:val="000000"/>
          <w:sz w:val="20"/>
          <w:szCs w:val="20"/>
        </w:rPr>
        <w:t xml:space="preserve"> </w:t>
      </w:r>
    </w:p>
    <w:p w:rsidR="002056B2" w:rsidRDefault="002056B2" w:rsidP="002056B2">
      <w:pPr>
        <w:pStyle w:val="artigo"/>
        <w:spacing w:before="0" w:beforeAutospacing="0" w:after="0" w:afterAutospacing="0"/>
        <w:ind w:left="2268"/>
        <w:jc w:val="both"/>
        <w:rPr>
          <w:color w:val="000000"/>
          <w:sz w:val="20"/>
          <w:szCs w:val="20"/>
        </w:rPr>
      </w:pPr>
      <w:r w:rsidRPr="00D92B66">
        <w:rPr>
          <w:color w:val="000000"/>
          <w:sz w:val="20"/>
          <w:szCs w:val="20"/>
        </w:rPr>
        <w:t>(STF. Plenário. ADI 2922/RJ, Rel. Min. Gilmar Mendes, julgado em 3/4/2014)</w:t>
      </w:r>
      <w:r>
        <w:rPr>
          <w:color w:val="000000"/>
          <w:sz w:val="20"/>
          <w:szCs w:val="20"/>
        </w:rPr>
        <w:t>.</w:t>
      </w:r>
    </w:p>
    <w:p w:rsidR="008B2A5D" w:rsidRDefault="00607921" w:rsidP="007C4155">
      <w:pPr>
        <w:autoSpaceDE w:val="0"/>
        <w:autoSpaceDN w:val="0"/>
        <w:adjustRightInd w:val="0"/>
        <w:spacing w:before="240"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Como se vê,</w:t>
      </w:r>
      <w:r w:rsidR="003A47E6">
        <w:rPr>
          <w:rFonts w:ascii="Times New Roman" w:eastAsia="Arial Unicode MS" w:hAnsi="Times New Roman" w:cs="Times New Roman"/>
          <w:sz w:val="24"/>
          <w:szCs w:val="24"/>
        </w:rPr>
        <w:t xml:space="preserve"> não há inconstitucionalidade na medida, além disso, trata-se de proposição de relevante interesse do Estado do Maranhão e de s</w:t>
      </w:r>
      <w:r w:rsidR="002056B2">
        <w:rPr>
          <w:rFonts w:ascii="Times New Roman" w:eastAsia="Arial Unicode MS" w:hAnsi="Times New Roman" w:cs="Times New Roman"/>
          <w:sz w:val="24"/>
          <w:szCs w:val="24"/>
        </w:rPr>
        <w:t>ua</w:t>
      </w:r>
      <w:r w:rsidR="003A47E6">
        <w:rPr>
          <w:rFonts w:ascii="Times New Roman" w:eastAsia="Arial Unicode MS" w:hAnsi="Times New Roman" w:cs="Times New Roman"/>
          <w:sz w:val="24"/>
          <w:szCs w:val="24"/>
        </w:rPr>
        <w:t>s respectiv</w:t>
      </w:r>
      <w:r w:rsidR="002056B2">
        <w:rPr>
          <w:rFonts w:ascii="Times New Roman" w:eastAsia="Arial Unicode MS" w:hAnsi="Times New Roman" w:cs="Times New Roman"/>
          <w:sz w:val="24"/>
          <w:szCs w:val="24"/>
        </w:rPr>
        <w:t>as instituições de ensino públicas</w:t>
      </w:r>
      <w:r w:rsidR="003A47E6">
        <w:rPr>
          <w:rFonts w:ascii="Times New Roman" w:eastAsia="Arial Unicode MS" w:hAnsi="Times New Roman" w:cs="Times New Roman"/>
          <w:sz w:val="24"/>
          <w:szCs w:val="24"/>
        </w:rPr>
        <w:t>. Por isso, conto c</w:t>
      </w:r>
      <w:bookmarkStart w:id="0" w:name="_GoBack"/>
      <w:bookmarkEnd w:id="0"/>
      <w:r w:rsidR="003A47E6">
        <w:rPr>
          <w:rFonts w:ascii="Times New Roman" w:eastAsia="Arial Unicode MS" w:hAnsi="Times New Roman" w:cs="Times New Roman"/>
          <w:sz w:val="24"/>
          <w:szCs w:val="24"/>
        </w:rPr>
        <w:t>om o apoio dos nobríssimos pares para aprovação deste projeto de lei ordinária</w:t>
      </w:r>
      <w:r w:rsidR="00E04C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91A" w:rsidRPr="008B2A5D" w:rsidRDefault="00140B07" w:rsidP="003A47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4396F77" wp14:editId="7A75EA50">
            <wp:extent cx="1847850" cy="138112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91A" w:rsidRPr="008B2A5D" w:rsidSect="00542415">
      <w:headerReference w:type="default" r:id="rId10"/>
      <w:footerReference w:type="defaul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1B7" w:rsidRDefault="006361B7" w:rsidP="00E660E2">
      <w:pPr>
        <w:spacing w:after="0" w:line="240" w:lineRule="auto"/>
      </w:pPr>
      <w:r>
        <w:separator/>
      </w:r>
    </w:p>
  </w:endnote>
  <w:endnote w:type="continuationSeparator" w:id="0">
    <w:p w:rsidR="006361B7" w:rsidRDefault="006361B7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31C" w:rsidRDefault="00BF131C" w:rsidP="00BF131C">
    <w:pPr>
      <w:pStyle w:val="Rodap"/>
      <w:pBdr>
        <w:bottom w:val="single" w:sz="12" w:space="1" w:color="auto"/>
      </w:pBdr>
      <w:spacing w:before="100"/>
      <w:jc w:val="center"/>
      <w:rPr>
        <w:rFonts w:ascii="Times New Roman" w:hAnsi="Times New Roman" w:cs="Times New Roman"/>
        <w:sz w:val="20"/>
      </w:rPr>
    </w:pPr>
  </w:p>
  <w:p w:rsidR="00BF131C" w:rsidRPr="00BF131C" w:rsidRDefault="00BF131C" w:rsidP="00BF131C">
    <w:pPr>
      <w:pStyle w:val="Rodap"/>
      <w:spacing w:before="100"/>
      <w:jc w:val="center"/>
      <w:rPr>
        <w:rFonts w:ascii="Times New Roman" w:hAnsi="Times New Roman" w:cs="Times New Roman"/>
        <w:sz w:val="20"/>
      </w:rPr>
    </w:pPr>
    <w:r w:rsidRPr="00BF131C">
      <w:rPr>
        <w:rFonts w:ascii="Times New Roman" w:hAnsi="Times New Roman" w:cs="Times New Roman"/>
        <w:sz w:val="20"/>
      </w:rPr>
      <w:t>Av. Jerônimo de Albuquerque, S/Nº, Sítio Rangedor – Calhau / CEP: 65071-750 – São Luís/MA</w:t>
    </w:r>
  </w:p>
  <w:p w:rsidR="00BF131C" w:rsidRPr="00BF131C" w:rsidRDefault="00BF131C" w:rsidP="00BF131C">
    <w:pPr>
      <w:pStyle w:val="Rodap"/>
      <w:jc w:val="center"/>
      <w:rPr>
        <w:rFonts w:ascii="Times New Roman" w:hAnsi="Times New Roman" w:cs="Times New Roman"/>
      </w:rPr>
    </w:pPr>
    <w:r w:rsidRPr="00BF131C">
      <w:rPr>
        <w:rFonts w:ascii="Times New Roman" w:hAnsi="Times New Roman" w:cs="Times New Roman"/>
        <w:sz w:val="20"/>
      </w:rPr>
      <w:t>Fone: (098) 3269-3250</w:t>
    </w:r>
    <w:r w:rsidRPr="00BF131C">
      <w:rPr>
        <w:rFonts w:ascii="Times New Roman" w:hAnsi="Times New Roman" w:cs="Times New Roman"/>
        <w:sz w:val="20"/>
      </w:rPr>
      <w:t xml:space="preserve"> -</w:t>
    </w:r>
    <w:r w:rsidRPr="00BF131C">
      <w:rPr>
        <w:rFonts w:ascii="Times New Roman" w:hAnsi="Times New Roman" w:cs="Times New Roman"/>
        <w:sz w:val="20"/>
      </w:rPr>
      <w:t xml:space="preserve"> </w:t>
    </w:r>
    <w:hyperlink r:id="rId1" w:history="1">
      <w:r w:rsidRPr="00BF131C">
        <w:rPr>
          <w:rStyle w:val="Hyperlink"/>
          <w:rFonts w:ascii="Times New Roman" w:hAnsi="Times New Roman" w:cs="Times New Roman"/>
          <w:color w:val="auto"/>
          <w:sz w:val="20"/>
          <w:u w:val="none"/>
        </w:rPr>
        <w:t>dep.dryglesio@al.ma.leg.br</w:t>
      </w:r>
    </w:hyperlink>
    <w:r w:rsidRPr="00BF131C">
      <w:rPr>
        <w:rFonts w:ascii="Times New Roman" w:hAnsi="Times New Roman" w:cs="Times New Roman"/>
        <w:sz w:val="20"/>
      </w:rPr>
      <w:t xml:space="preserve"> - Gabinete nº 242.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1B7" w:rsidRDefault="006361B7" w:rsidP="00E660E2">
      <w:pPr>
        <w:spacing w:after="0" w:line="240" w:lineRule="auto"/>
      </w:pPr>
      <w:r>
        <w:separator/>
      </w:r>
    </w:p>
  </w:footnote>
  <w:footnote w:type="continuationSeparator" w:id="0">
    <w:p w:rsidR="006361B7" w:rsidRDefault="006361B7" w:rsidP="00E660E2">
      <w:pPr>
        <w:spacing w:after="0" w:line="240" w:lineRule="auto"/>
      </w:pPr>
      <w:r>
        <w:continuationSeparator/>
      </w:r>
    </w:p>
  </w:footnote>
  <w:footnote w:id="1">
    <w:p w:rsidR="007C4155" w:rsidRPr="007C4155" w:rsidRDefault="007C4155" w:rsidP="007C4155">
      <w:pPr>
        <w:pStyle w:val="Textodenotaderodap"/>
        <w:jc w:val="both"/>
        <w:rPr>
          <w:rFonts w:ascii="Times New Roman" w:hAnsi="Times New Roman" w:cs="Times New Roman"/>
        </w:rPr>
      </w:pPr>
      <w:r w:rsidRPr="007C4155">
        <w:rPr>
          <w:rStyle w:val="Refdenotaderodap"/>
          <w:rFonts w:ascii="Times New Roman" w:hAnsi="Times New Roman" w:cs="Times New Roman"/>
        </w:rPr>
        <w:footnoteRef/>
      </w:r>
      <w:r w:rsidRPr="007C4155">
        <w:rPr>
          <w:rFonts w:ascii="Times New Roman" w:hAnsi="Times New Roman" w:cs="Times New Roman"/>
        </w:rPr>
        <w:t xml:space="preserve"> CNJ – Conselho Nacional de Justiça. </w:t>
      </w:r>
      <w:r w:rsidRPr="007C4155">
        <w:rPr>
          <w:rFonts w:ascii="Times New Roman" w:hAnsi="Times New Roman" w:cs="Times New Roman"/>
          <w:b/>
        </w:rPr>
        <w:t>Manual de bens apreendidos</w:t>
      </w:r>
      <w:r w:rsidRPr="007C4155">
        <w:rPr>
          <w:rFonts w:ascii="Times New Roman" w:hAnsi="Times New Roman" w:cs="Times New Roman"/>
        </w:rPr>
        <w:t xml:space="preserve">. Disponível em: </w:t>
      </w:r>
      <w:hyperlink r:id="rId1" w:history="1">
        <w:r w:rsidRPr="007C4155">
          <w:rPr>
            <w:rStyle w:val="Hyperlink"/>
            <w:rFonts w:ascii="Times New Roman" w:hAnsi="Times New Roman" w:cs="Times New Roman"/>
            <w:color w:val="auto"/>
            <w:u w:val="none"/>
          </w:rPr>
          <w:t>https://www.cnj.jus.br/wp-content/uploads/2011/01/MANUAL_DE_GESTO_DOS_BENS_APREENDIDOS_cd.pdf</w:t>
        </w:r>
      </w:hyperlink>
      <w:r w:rsidRPr="007C4155">
        <w:rPr>
          <w:rFonts w:ascii="Times New Roman" w:hAnsi="Times New Roman" w:cs="Times New Roman"/>
        </w:rPr>
        <w:t>. Brasília, CNJ. 2011.</w:t>
      </w:r>
    </w:p>
  </w:footnote>
  <w:footnote w:id="2">
    <w:p w:rsidR="002056B2" w:rsidRPr="00D92B66" w:rsidRDefault="002056B2" w:rsidP="002056B2">
      <w:pPr>
        <w:pStyle w:val="Textodenotaderodap"/>
        <w:jc w:val="both"/>
        <w:rPr>
          <w:rFonts w:ascii="Times New Roman" w:hAnsi="Times New Roman" w:cs="Times New Roman"/>
        </w:rPr>
      </w:pPr>
      <w:r w:rsidRPr="00D92B66">
        <w:rPr>
          <w:rStyle w:val="Refdenotaderodap"/>
          <w:rFonts w:ascii="Times New Roman" w:hAnsi="Times New Roman"/>
        </w:rPr>
        <w:footnoteRef/>
      </w:r>
      <w:r w:rsidRPr="00D92B66">
        <w:rPr>
          <w:rFonts w:ascii="Times New Roman" w:hAnsi="Times New Roman" w:cs="Times New Roman"/>
        </w:rPr>
        <w:t xml:space="preserve"> THEODORO JÚNIOR, Humberto. </w:t>
      </w:r>
      <w:r w:rsidRPr="00D92B66">
        <w:rPr>
          <w:rFonts w:ascii="Times New Roman" w:hAnsi="Times New Roman" w:cs="Times New Roman"/>
          <w:b/>
        </w:rPr>
        <w:t>C</w:t>
      </w:r>
      <w:r w:rsidRPr="00D92B66">
        <w:rPr>
          <w:rFonts w:ascii="Times New Roman" w:hAnsi="Times New Roman" w:cs="Times New Roman"/>
          <w:b/>
          <w:iCs/>
          <w:color w:val="333333"/>
          <w:shd w:val="clear" w:color="auto" w:fill="FFFFFF"/>
        </w:rPr>
        <w:t>urso de Direito Processual Civil</w:t>
      </w:r>
      <w:r w:rsidRPr="00D92B66">
        <w:rPr>
          <w:rFonts w:ascii="Times New Roman" w:hAnsi="Times New Roman" w:cs="Times New Roman"/>
          <w:color w:val="333333"/>
          <w:shd w:val="clear" w:color="auto" w:fill="FFFFFF"/>
        </w:rPr>
        <w:t xml:space="preserve">. Vol. I, 56ª ed., Rio </w:t>
      </w:r>
      <w:r>
        <w:rPr>
          <w:rFonts w:ascii="Times New Roman" w:hAnsi="Times New Roman" w:cs="Times New Roman"/>
          <w:color w:val="333333"/>
          <w:shd w:val="clear" w:color="auto" w:fill="FFFFFF"/>
        </w:rPr>
        <w:t>de Janeiro: Forense, 2015.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415" w:rsidRDefault="00542415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575BDB92" wp14:editId="7A03478D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2415" w:rsidRPr="00A20743" w:rsidRDefault="00542415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  <w:r w:rsidRPr="00A20743">
      <w:rPr>
        <w:rFonts w:ascii="Times New Roman" w:hAnsi="Times New Roman" w:cs="Times New Roman"/>
        <w:b/>
        <w:sz w:val="24"/>
        <w:szCs w:val="24"/>
      </w:rPr>
      <w:br/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</w:t>
    </w:r>
    <w:r w:rsidR="00FF34F0">
      <w:rPr>
        <w:rFonts w:ascii="Times New Roman" w:hAnsi="Times New Roman" w:cs="Times New Roman"/>
        <w:b/>
        <w:sz w:val="24"/>
        <w:szCs w:val="24"/>
      </w:rPr>
      <w:t xml:space="preserve">ESTADUAL </w:t>
    </w:r>
    <w:r w:rsidRPr="00A20743">
      <w:rPr>
        <w:rFonts w:ascii="Times New Roman" w:hAnsi="Times New Roman" w:cs="Times New Roman"/>
        <w:b/>
        <w:sz w:val="24"/>
        <w:szCs w:val="24"/>
      </w:rPr>
      <w:t>DR. YGLÉSIO</w:t>
    </w:r>
  </w:p>
  <w:p w:rsidR="00542415" w:rsidRDefault="005424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7945"/>
    <w:rsid w:val="00007D55"/>
    <w:rsid w:val="0003404B"/>
    <w:rsid w:val="000344A8"/>
    <w:rsid w:val="000741E7"/>
    <w:rsid w:val="000820E2"/>
    <w:rsid w:val="00085063"/>
    <w:rsid w:val="000943E3"/>
    <w:rsid w:val="000C7554"/>
    <w:rsid w:val="000C7624"/>
    <w:rsid w:val="000D56A1"/>
    <w:rsid w:val="000D7335"/>
    <w:rsid w:val="000E0BD4"/>
    <w:rsid w:val="000E65EB"/>
    <w:rsid w:val="00140B07"/>
    <w:rsid w:val="00167E27"/>
    <w:rsid w:val="00183E1D"/>
    <w:rsid w:val="00184FAE"/>
    <w:rsid w:val="001A048B"/>
    <w:rsid w:val="001B33EA"/>
    <w:rsid w:val="001C1C6C"/>
    <w:rsid w:val="001D3097"/>
    <w:rsid w:val="00200CC3"/>
    <w:rsid w:val="00204D9F"/>
    <w:rsid w:val="002056B2"/>
    <w:rsid w:val="0022581F"/>
    <w:rsid w:val="00264292"/>
    <w:rsid w:val="00275C3F"/>
    <w:rsid w:val="0028534B"/>
    <w:rsid w:val="00292FA3"/>
    <w:rsid w:val="00294384"/>
    <w:rsid w:val="002A60FD"/>
    <w:rsid w:val="002C23F7"/>
    <w:rsid w:val="002E1D24"/>
    <w:rsid w:val="002E638F"/>
    <w:rsid w:val="00304759"/>
    <w:rsid w:val="00312DC8"/>
    <w:rsid w:val="00326BC8"/>
    <w:rsid w:val="003310B5"/>
    <w:rsid w:val="00351AB8"/>
    <w:rsid w:val="00387F25"/>
    <w:rsid w:val="003A2D8A"/>
    <w:rsid w:val="003A47E6"/>
    <w:rsid w:val="003B55CC"/>
    <w:rsid w:val="003E71A2"/>
    <w:rsid w:val="003F6372"/>
    <w:rsid w:val="004263B0"/>
    <w:rsid w:val="00433762"/>
    <w:rsid w:val="00437BEE"/>
    <w:rsid w:val="00440FA9"/>
    <w:rsid w:val="004627AE"/>
    <w:rsid w:val="0046545C"/>
    <w:rsid w:val="00497E00"/>
    <w:rsid w:val="00542415"/>
    <w:rsid w:val="005446EB"/>
    <w:rsid w:val="0055470D"/>
    <w:rsid w:val="00560387"/>
    <w:rsid w:val="005659A0"/>
    <w:rsid w:val="00576B56"/>
    <w:rsid w:val="00577B60"/>
    <w:rsid w:val="00580B9E"/>
    <w:rsid w:val="00591214"/>
    <w:rsid w:val="005B148B"/>
    <w:rsid w:val="005B1BD3"/>
    <w:rsid w:val="005B609D"/>
    <w:rsid w:val="005C43E3"/>
    <w:rsid w:val="005D0515"/>
    <w:rsid w:val="005F14DF"/>
    <w:rsid w:val="00602500"/>
    <w:rsid w:val="00604469"/>
    <w:rsid w:val="00607921"/>
    <w:rsid w:val="006314B9"/>
    <w:rsid w:val="006361B7"/>
    <w:rsid w:val="006523EF"/>
    <w:rsid w:val="006870FE"/>
    <w:rsid w:val="006A461A"/>
    <w:rsid w:val="006C247E"/>
    <w:rsid w:val="006C2820"/>
    <w:rsid w:val="00712F6C"/>
    <w:rsid w:val="0073482B"/>
    <w:rsid w:val="00754ABD"/>
    <w:rsid w:val="007600BF"/>
    <w:rsid w:val="00762510"/>
    <w:rsid w:val="0076487D"/>
    <w:rsid w:val="00772D82"/>
    <w:rsid w:val="00790152"/>
    <w:rsid w:val="00791DE6"/>
    <w:rsid w:val="007A3C08"/>
    <w:rsid w:val="007A44F6"/>
    <w:rsid w:val="007C4155"/>
    <w:rsid w:val="007D201D"/>
    <w:rsid w:val="007D5954"/>
    <w:rsid w:val="00801F45"/>
    <w:rsid w:val="00811047"/>
    <w:rsid w:val="0081388B"/>
    <w:rsid w:val="00830FCD"/>
    <w:rsid w:val="0084397C"/>
    <w:rsid w:val="00845011"/>
    <w:rsid w:val="008838E2"/>
    <w:rsid w:val="00885EE7"/>
    <w:rsid w:val="008A0FB5"/>
    <w:rsid w:val="008B2A5D"/>
    <w:rsid w:val="008B4E05"/>
    <w:rsid w:val="008D193C"/>
    <w:rsid w:val="008D22C8"/>
    <w:rsid w:val="008D7077"/>
    <w:rsid w:val="00905193"/>
    <w:rsid w:val="009552A7"/>
    <w:rsid w:val="00963EC0"/>
    <w:rsid w:val="00965FA0"/>
    <w:rsid w:val="009671B6"/>
    <w:rsid w:val="00971786"/>
    <w:rsid w:val="009A75CB"/>
    <w:rsid w:val="009D3148"/>
    <w:rsid w:val="00A206B7"/>
    <w:rsid w:val="00A2364E"/>
    <w:rsid w:val="00A37F30"/>
    <w:rsid w:val="00A5427F"/>
    <w:rsid w:val="00A66ADC"/>
    <w:rsid w:val="00A715BA"/>
    <w:rsid w:val="00A765DF"/>
    <w:rsid w:val="00A77BBF"/>
    <w:rsid w:val="00AB6615"/>
    <w:rsid w:val="00AD31C9"/>
    <w:rsid w:val="00AD4A99"/>
    <w:rsid w:val="00B357F8"/>
    <w:rsid w:val="00B6544A"/>
    <w:rsid w:val="00B86FDD"/>
    <w:rsid w:val="00BA01A0"/>
    <w:rsid w:val="00BA5722"/>
    <w:rsid w:val="00BB555C"/>
    <w:rsid w:val="00BC4B5E"/>
    <w:rsid w:val="00BE705A"/>
    <w:rsid w:val="00BF131C"/>
    <w:rsid w:val="00C32715"/>
    <w:rsid w:val="00C37147"/>
    <w:rsid w:val="00C46222"/>
    <w:rsid w:val="00C70639"/>
    <w:rsid w:val="00C73D5A"/>
    <w:rsid w:val="00C767D6"/>
    <w:rsid w:val="00C8591A"/>
    <w:rsid w:val="00D204AE"/>
    <w:rsid w:val="00D341F7"/>
    <w:rsid w:val="00D5142A"/>
    <w:rsid w:val="00D57E42"/>
    <w:rsid w:val="00D61739"/>
    <w:rsid w:val="00D65AC6"/>
    <w:rsid w:val="00D72291"/>
    <w:rsid w:val="00D750FF"/>
    <w:rsid w:val="00D86439"/>
    <w:rsid w:val="00D954D4"/>
    <w:rsid w:val="00DA3CA3"/>
    <w:rsid w:val="00DA51F1"/>
    <w:rsid w:val="00DB383A"/>
    <w:rsid w:val="00DC4DCC"/>
    <w:rsid w:val="00DD1F6D"/>
    <w:rsid w:val="00E04C17"/>
    <w:rsid w:val="00E179FD"/>
    <w:rsid w:val="00E44637"/>
    <w:rsid w:val="00E51034"/>
    <w:rsid w:val="00E55539"/>
    <w:rsid w:val="00E660E2"/>
    <w:rsid w:val="00EA394C"/>
    <w:rsid w:val="00EB0956"/>
    <w:rsid w:val="00ED36CA"/>
    <w:rsid w:val="00F075C2"/>
    <w:rsid w:val="00F1484E"/>
    <w:rsid w:val="00F4243A"/>
    <w:rsid w:val="00F50C09"/>
    <w:rsid w:val="00F80C93"/>
    <w:rsid w:val="00FA1F12"/>
    <w:rsid w:val="00FA667C"/>
    <w:rsid w:val="00FB1A9F"/>
    <w:rsid w:val="00FC332B"/>
    <w:rsid w:val="00FE10B9"/>
    <w:rsid w:val="00FE2F47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B07C"/>
  <w15:docId w15:val="{28A891FF-CE00-4C2B-A96A-1F13455E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F131C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20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dryglesio@al.ma.leg.b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nj.jus.br/wp-content/uploads/2011/01/MANUAL_DE_GESTO_DOS_BENS_APREENDIDOS_c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47CD-454D-473A-B8E1-EAF159CE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Diogo de Almeida Viana dos Santos</cp:lastModifiedBy>
  <cp:revision>2</cp:revision>
  <cp:lastPrinted>2020-05-26T10:57:00Z</cp:lastPrinted>
  <dcterms:created xsi:type="dcterms:W3CDTF">2020-07-13T14:54:00Z</dcterms:created>
  <dcterms:modified xsi:type="dcterms:W3CDTF">2020-07-13T14:54:00Z</dcterms:modified>
</cp:coreProperties>
</file>