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4.png" ContentType="image/png"/>
  <Override PartName="/word/media/image3.jpeg" ContentType="image/jpeg"/>
  <Override PartName="/word/media/image2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PROJETO DE LEI Nº ____ DE 2020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ind w:left="4320" w:right="0" w:hanging="0"/>
        <w:jc w:val="both"/>
        <w:rPr>
          <w:caps/>
        </w:rPr>
      </w:pPr>
      <w:r>
        <w:rPr>
          <w:caps/>
        </w:rPr>
        <w:t>Determina o cadastro de empresas na plataforma Consumidor.gov.br para viabilizar a mediação via internet, pela Secretaria Nacional do Consumidor, dos conflitos de consumo notificados eletronicamente, nos termos do art. 34 do Decreto nº 2.181, de 20 de março de 1997.</w:t>
      </w:r>
    </w:p>
    <w:p>
      <w:pPr>
        <w:pStyle w:val="Normal"/>
        <w:widowControl/>
        <w:bidi w:val="0"/>
        <w:ind w:left="0" w:right="0" w:firstLine="720"/>
        <w:jc w:val="left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left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left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Art. 1º Ficam as empresas fornecedoras atuantes no Esado do Maranhão obrigadas a efetuar cadastro prórpio na plataforma Consumidor.gov.br para viabilizar a mediação, via internet, dos conflitos de consumo notificados eletronicamente, nos termos do art. 34 do Decreto no 2.181, de 20 de março de 1997.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Art. 2º Observado o disposto no §1o deste artigo, os seguintes fornecedores deverão cadastrar-se na plataforma Consumidor.gov.br até trinta dias contados da entrada em vigor desta Lei: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I - empresas com atuação nacional ou regional incluindo o Estadodo Maranhão, em setores que envolvam serviços públicos e atividades essenciais, conforme definidos pelo Decreto 10.282 de 20 de março de 2020;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II - plataformas digitais de atendimento pela internet dedicadas ao transporte individual ou coletivo de passageiros ou à entrega de alimentos, ou, ainda, à promoção, oferta ou venda de produtos próprios ou de terceiros ao consumidor final.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§1º A obrigação de que trata o caput deste artigo somente se aplica às empresas de que tratam os incisos I e II acima caso elas ou os seus respectivos grupos econômicos: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I - tenham faturamento bruto de no mínimo dez milhões de reais no último ano fiscal;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II - tenham alcançado uma média mensal igual ou superior a cem reclamações em seus canais de atendimento ao consumidor no último ano fiscal; ou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III - sejam reclamados em mais de cinquenta processos judiciais que discutam relações de consumo.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 xml:space="preserve">§ 2º </w:t>
      </w:r>
      <w:r>
        <w:rPr/>
        <w:t xml:space="preserve">O fornecedor que demonstre baixo  </w:t>
      </w:r>
      <w:r>
        <w:rPr/>
        <w:t xml:space="preserve">volume das demandas nos Órgãos de Defesa do Consumidor ou que o cadastramento não venha a facilitar a resolução de conflitos com o consumidor </w:t>
      </w:r>
      <w:r>
        <w:rPr/>
        <w:t>poderá solicitar dispensa das obrigações desta Lei, nos termos da Portaria N</w:t>
      </w:r>
      <w:r>
        <w:rPr/>
        <w:t>º</w:t>
      </w:r>
      <w:r>
        <w:rPr/>
        <w:t xml:space="preserve">. 015, de 27 de março de 2020, da Secretaria Nacional do Consumidor. 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Art. 3º Na hipótese de falsidade ou enganosidade no preenchimento dos requisitos do art. 1º, o fornecedor poderá ser investigado por infração contra as normas de proteção e defesa do consumidor.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 xml:space="preserve">Art. 4º Esta </w:t>
      </w:r>
      <w:r>
        <w:rPr/>
        <w:t>Lei</w:t>
      </w:r>
      <w:r>
        <w:rPr/>
        <w:t xml:space="preserve"> entra em vigor na data de sua publicação.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/>
        <w:drawing>
          <wp:inline distT="0" distB="0" distL="0" distR="0">
            <wp:extent cx="1895475" cy="13716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pageBreakBefore/>
        <w:widowControl/>
        <w:bidi w:val="0"/>
        <w:ind w:left="0" w:right="0" w:hanging="0"/>
        <w:jc w:val="center"/>
        <w:rPr/>
      </w:pPr>
      <w:r>
        <w:rPr/>
        <w:t>JUSTIFICATIVA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A Carta de Informação Preliminar Eletrônica (CIP Eletrônica) é um recurso de proteção ao consumidor, cuja previsão legal origina-se no art. 44 da Lei Federal 8.078, de 11 de setembro de 1990 (Código de Defesa do Consumidor), e que se constitui de reclamação eletronicamente gerada pelo consumidor que se sinta lesado em seus direitos. O recurso é  oferecido pelo Sistema Nacional de Informações de Defesa do Consumidor (SINDEC).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 xml:space="preserve">Tal sistema aproxima o consumidor reclamante do fornecedor reclamado que haja efetuado cadastro. Sempre que o ofrnecedor reclamado estiver cadastrado no sistema, a reclamação é dirigida diretamente ao forneceror, com celeridade, eficiência e ínfimo custo operacional aos Órgãos de Defesa do Consumior. </w:t>
      </w:r>
      <w:r>
        <w:rPr/>
        <w:t>Em regra, a participação das empresas no Consumidor.gov.br é voluntária e se materializa com assinatura de  termo de adesão, no qual as empresas interessadas  se comprometem a conhecer, analisar e investir todos os esforços possíveis para a solução dos problemas apresentados, como uma alternativa para resolução de conflitos que não puderam ser superadas em seus canais próprios, funcionando como uma alternativa de ingresso ao Poder Judiciário.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Caso o fornecedor não esteja cadastrado no sistema de CIP eeletrônica disponibilizado no Consumidor.gov.br, a notificação dos fornecedores se torna difícil e dispendiosa para o órgão estadual de defesa do consumidor.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 xml:space="preserve">Com vistas promover o cadastro de fornecedores no sistema, a Secretaria Nacional do Consumidor editou a  </w:t>
      </w:r>
      <w:r>
        <w:rPr/>
        <w:t xml:space="preserve">Portaria Nº. 015, de 27 de março de 2020 </w:t>
      </w:r>
      <w:r>
        <w:rPr/>
        <w:t>obrigando as empresas a efetuarem cadastro, sempre que cumprirem pelo menos um dos seguintes requisitos: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- empresas com atuação nacional ou regional em setores que envolvam serviços públicos e atividades essenciais; ou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- plataformas digitais de atendimento pela internet dedicadas ao transporte individual ou coletivo de passageiros ou à entrega de alimentos, ou, ainda, à promoção, oferta ou venda de produtos próprios ou de terceiros ao consumidor final; ou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- agentes econômicos listados entre as duzentas empresas mais reclamadas no Sistema Nacional de Informações de Defesa do Consumidor da Secretaria Nacional do Consumidor do Ministério da Justiça e Segurança Pública (Sindec), no ano de 2019.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Para a obrigatoriedade, também se exigem, às empresas que se enquadrem, que  cumulativamente: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- tenha faturamento bruto de no mínimo cem milhões de reais no último ano fiscal;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- tenha alcançado uma média mensal igual ou superior a mil reclamações em seus canais de atendimento ao consumidor no último ano fiscal;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Nobres pares, objetivando proteger mais consumidores de nosso Estado e facilitar o atendimento de suas reclações, e tendo em vista que muitas das empresas fornecedoras atuantes em nosso Estado são de escala menor tanto em faturamento quanto em volume de reclamações, o Projeto de Lei que ora proponho a vosso exame, discussão e aprovação reduz os limites mínimos de faturamento, voulme de reclamações em seus canais de atendimento e ações judiciais consumeiristas em que sejam polo passivo.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Também intenciona-se estabelecer esta útil obrigação de cadastro às empresas por força de Lei, no âmbito do Estado do Maranhão, mais democraticamente legítimo, estável e transparente que atos normativos emitidos por autoridade administrativa como é a Portaria Nº. 015/2020 da Secretaria Nacional do Consumidor.</w:t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  <w:t>Diante de tais razões, conto com o apoio dos nobríssimos Pares para a aprovação dessa proposição, possibilitando a ampliação da Defesa do Consumidor em nosso Estado, nos termos do art. 24, Insiso V da Constutição Federal, bem como a redução de custos e ônus administrativo dos órgãos de defesa do consumidor em nosso Estado.</w:t>
      </w:r>
    </w:p>
    <w:p>
      <w:pPr>
        <w:pStyle w:val="Normal"/>
        <w:widowControl/>
        <w:bidi w:val="0"/>
        <w:ind w:left="0" w:right="0" w:firstLine="720"/>
        <w:jc w:val="both"/>
        <w:rPr/>
      </w:pPr>
      <w:bookmarkStart w:id="0" w:name="__DdeLink__347_1886906442"/>
      <w:bookmarkStart w:id="1" w:name="__DdeLink__347_1886906442"/>
      <w:r>
        <w:rPr/>
      </w:r>
    </w:p>
    <w:p>
      <w:pPr>
        <w:pStyle w:val="Normal"/>
        <w:widowControl/>
        <w:bidi w:val="0"/>
        <w:ind w:left="0" w:right="0" w:hanging="0"/>
        <w:jc w:val="center"/>
        <w:rPr/>
      </w:pPr>
      <w:bookmarkStart w:id="2" w:name="__DdeLink__347_1886906442"/>
      <w:bookmarkEnd w:id="2"/>
      <w:r>
        <w:rPr/>
        <w:drawing>
          <wp:inline distT="0" distB="0" distL="0" distR="0">
            <wp:extent cx="1895475" cy="137160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widowControl/>
        <w:bidi w:val="0"/>
        <w:ind w:left="0" w:right="0" w:firstLine="72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276" w:right="1416" w:header="284" w:top="3069" w:footer="12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center"/>
      <w:tblInd w:w="0" w:type="dxa"/>
      <w:tblBorders>
        <w:top w:val="single" w:sz="4" w:space="0" w:color="00000A"/>
        <w:left w:val="nil"/>
        <w:bottom w:val="nil"/>
        <w:insideH w:val="nil"/>
        <w:right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10376"/>
    </w:tblGrid>
    <w:tr>
      <w:trPr>
        <w:cantSplit w:val="false"/>
      </w:trPr>
      <w:tc>
        <w:tcPr>
          <w:tcW w:w="10376" w:type="dxa"/>
          <w:tcBorders>
            <w:top w:val="single" w:sz="4" w:space="0" w:color="00000A"/>
            <w:left w:val="nil"/>
            <w:bottom w:val="nil"/>
            <w:insideH w:val="nil"/>
            <w:right w:val="nil"/>
            <w:insideV w:val="nil"/>
          </w:tcBorders>
          <w:shd w:fill="FFFFFF" w:val="clear"/>
          <w:vAlign w:val="bottom"/>
        </w:tcPr>
        <w:p>
          <w:pPr>
            <w:pStyle w:val="Footer"/>
            <w:spacing w:before="100" w:after="0"/>
            <w:ind w:left="0" w:right="0" w:hanging="0"/>
            <w:jc w:val="center"/>
            <w:rPr>
              <w:sz w:val="20"/>
            </w:rPr>
          </w:pPr>
          <w:r>
            <w:rPr>
              <w:sz w:val="20"/>
            </w:rPr>
            <w:t>Av. Jerônimo de Albuquerque, S/Nº, Sítio Rangedor – Calhau / CEP: 65071-750 – São Luís/MA</w:t>
          </w:r>
        </w:p>
        <w:p>
          <w:pPr>
            <w:pStyle w:val="Footer"/>
            <w:spacing w:before="100" w:after="0"/>
            <w:ind w:left="0" w:right="0" w:hanging="0"/>
            <w:jc w:val="center"/>
            <w:rPr>
              <w:sz w:val="20"/>
            </w:rPr>
          </w:pPr>
          <w:r>
            <w:rPr>
              <w:sz w:val="20"/>
            </w:rPr>
            <w:t>Fone: (98) 3269-3250 / dep.dryglesio@al.ma.leg.br</w:t>
          </w:r>
        </w:p>
      </w:tc>
    </w:tr>
  </w:tbl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center"/>
      <w:rPr/>
    </w:pPr>
    <w:r>
      <w:rPr/>
      <w:pict>
        <v:rect id="shape_0" stroked="f" style="position:absolute;margin-left:0pt;margin-top:0pt;width:68.2pt;height:67.45pt">
          <v:imagedata r:id="rId1" detectmouseclick="t"/>
          <v:wrap v:type="none"/>
          <v:stroke color="#3465a4" joinstyle="round" endcap="flat"/>
        </v:rect>
      </w:pict>
    </w:r>
  </w:p>
  <w:p>
    <w:pPr>
      <w:pStyle w:val="Normal"/>
      <w:jc w:val="center"/>
      <w:rPr>
        <w:b/>
      </w:rPr>
    </w:pPr>
    <w:r>
      <w:rPr>
        <w:b/>
      </w:rPr>
      <w:t>ESTADO DO MARANHÃO</w:t>
    </w:r>
  </w:p>
  <w:p>
    <w:pPr>
      <w:pStyle w:val="Normal"/>
      <w:jc w:val="center"/>
      <w:rPr>
        <w:b/>
      </w:rPr>
    </w:pPr>
    <w:r>
      <w:rPr>
        <w:b/>
      </w:rPr>
      <w:t>ASSEMBLEIA LEGISLATIVA</w:t>
    </w:r>
  </w:p>
  <w:p>
    <w:pPr>
      <w:pStyle w:val="Header"/>
      <w:ind w:left="0" w:right="0" w:hanging="0"/>
      <w:jc w:val="center"/>
      <w:rPr>
        <w:b/>
      </w:rPr>
    </w:pPr>
    <w:r>
      <w:rPr>
        <w:b/>
      </w:rPr>
      <w:t>GABINETE DO DEPUTADO DR. YGLÉSIO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"/>
        <w:sz w:val="24"/>
        <w:szCs w:val="24"/>
        <w:lang w:val="pt-BR" w:eastAsia="ja-JP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uiPriority="0" w:name="footnote text"/>
    <w:lsdException w:unhideWhenUsed="1" w:semiHidden="1" w:name="annotation text"/>
    <w:lsdException w:unhideWhenUsed="1" w:semiHidden="1" w:name="header"/>
    <w:lsdException w:unhideWhenUsed="1" w:semiHidden="1" w:uiPriority="0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uiPriority="0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92a35"/>
    <w:pPr>
      <w:widowControl/>
      <w:suppressAutoHyphens w:val="true"/>
      <w:bidi w:val="0"/>
      <w:jc w:val="left"/>
    </w:pPr>
    <w:rPr>
      <w:rFonts w:ascii="Century" w:hAnsi="Century" w:cs="Calibri" w:eastAsia="Arial Unicode MS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f92a35"/>
    <w:basedOn w:val="DefaultParagraphFont"/>
    <w:rPr>
      <w:rFonts w:ascii="Times New Roman" w:hAnsi="Times New Roman" w:eastAsia="Times New Roman" w:cs="Times New Roman"/>
      <w:color w:val="000000"/>
    </w:rPr>
  </w:style>
  <w:style w:type="character" w:styleId="RodapChar" w:customStyle="1">
    <w:name w:val="Rodapé Char"/>
    <w:uiPriority w:val="99"/>
    <w:link w:val="Rodap"/>
    <w:rsid w:val="00f92a35"/>
    <w:basedOn w:val="DefaultParagraphFont"/>
    <w:rPr>
      <w:rFonts w:ascii="Times New Roman" w:hAnsi="Times New Roman" w:eastAsia="Times New Roman" w:cs="Times New Roman"/>
      <w:color w:val="000000"/>
    </w:rPr>
  </w:style>
  <w:style w:type="character" w:styleId="TextodebaloChar" w:customStyle="1">
    <w:name w:val="Texto de balão Char"/>
    <w:uiPriority w:val="99"/>
    <w:semiHidden/>
    <w:link w:val="Textodebalo"/>
    <w:rsid w:val="00af651b"/>
    <w:basedOn w:val="DefaultParagraphFont"/>
    <w:rPr>
      <w:rFonts w:ascii="Segoe UI" w:hAnsi="Segoe UI" w:cs="Segoe UI"/>
      <w:sz w:val="18"/>
      <w:szCs w:val="18"/>
      <w:lang w:eastAsia="pt-BR"/>
    </w:rPr>
  </w:style>
  <w:style w:type="character" w:styleId="TextodenotaderodapChar" w:customStyle="1">
    <w:name w:val="Texto de nota de rodapé Char"/>
    <w:link w:val="Textodenotaderodap"/>
    <w:rsid w:val="0016360a"/>
    <w:basedOn w:val="DefaultParagraphFont"/>
    <w:rPr>
      <w:rFonts w:cs="Calibri"/>
      <w:sz w:val="20"/>
      <w:szCs w:val="20"/>
      <w:lang w:val="en-US" w:eastAsia="en-US"/>
    </w:rPr>
  </w:style>
  <w:style w:type="character" w:styleId="Footnotereference">
    <w:name w:val="footnote reference"/>
    <w:rsid w:val="0016360a"/>
    <w:basedOn w:val="DefaultParagraphFont"/>
    <w:rPr>
      <w:vertAlign w:val="superscript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uiPriority w:val="99"/>
    <w:unhideWhenUsed/>
    <w:link w:val="CabealhoChar"/>
    <w:rsid w:val="00f92a35"/>
    <w:basedOn w:val="Normal"/>
    <w:pPr>
      <w:tabs>
        <w:tab w:val="center" w:pos="4419" w:leader="none"/>
        <w:tab w:val="right" w:pos="8838" w:leader="none"/>
      </w:tabs>
      <w:ind w:left="0" w:right="0" w:firstLine="1134"/>
    </w:pPr>
    <w:rPr>
      <w:rFonts w:ascii="Times New Roman" w:hAnsi="Times New Roman" w:eastAsia="Times New Roman" w:cs="Times New Roman"/>
      <w:color w:val="000000"/>
      <w:lang w:eastAsia="ja-JP"/>
    </w:rPr>
  </w:style>
  <w:style w:type="paragraph" w:styleId="Footer">
    <w:name w:val="Footer"/>
    <w:unhideWhenUsed/>
    <w:link w:val="RodapChar"/>
    <w:rsid w:val="00f92a35"/>
    <w:basedOn w:val="Normal"/>
    <w:pPr>
      <w:tabs>
        <w:tab w:val="center" w:pos="4419" w:leader="none"/>
        <w:tab w:val="right" w:pos="8838" w:leader="none"/>
      </w:tabs>
      <w:ind w:left="0" w:right="0" w:firstLine="1134"/>
    </w:pPr>
    <w:rPr>
      <w:rFonts w:ascii="Times New Roman" w:hAnsi="Times New Roman" w:eastAsia="Times New Roman" w:cs="Times New Roman"/>
      <w:color w:val="000000"/>
      <w:lang w:eastAsia="ja-JP"/>
    </w:rPr>
  </w:style>
  <w:style w:type="paragraph" w:styleId="BalloonText">
    <w:name w:val="Balloon Text"/>
    <w:uiPriority w:val="99"/>
    <w:semiHidden/>
    <w:unhideWhenUsed/>
    <w:link w:val="TextodebaloChar"/>
    <w:rsid w:val="00af651b"/>
    <w:basedOn w:val="Normal"/>
    <w:pPr/>
    <w:rPr>
      <w:rFonts w:ascii="Segoe UI" w:hAnsi="Segoe UI" w:cs="Segoe UI"/>
      <w:sz w:val="18"/>
      <w:szCs w:val="18"/>
    </w:rPr>
  </w:style>
  <w:style w:type="paragraph" w:styleId="Normal1" w:customStyle="1">
    <w:name w:val="Normal1"/>
    <w:rsid w:val="0016360a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eastAsia="en-US" w:val="pt-BR" w:bidi="ar-SA"/>
    </w:rPr>
  </w:style>
  <w:style w:type="paragraph" w:styleId="Footnotetext">
    <w:name w:val="footnote text"/>
    <w:link w:val="TextodenotaderodapChar"/>
    <w:rsid w:val="0016360a"/>
    <w:basedOn w:val="Normal"/>
    <w:pPr/>
    <w:rPr>
      <w:rFonts w:ascii="Calibri" w:hAnsi="Calibri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85FE-A0F1-47C5-9FF5-400814E2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LibreOffice/4.2.2.1$MacOSX_X86_64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2019-03-19T14:45:00Z</dcterms:created>
  <dc:creator>Diego Gomes Maranhão</dc:creator>
  <dc:language>en-US</dc:language>
  <cp:lastModifiedBy>Diogo de Almeida Viana dos Santos</cp:lastModifiedBy>
  <cp:lastPrinted>2019-03-19T14:43:00Z</cp:lastPrinted>
  <dcterms:modified xsi:type="dcterms:W3CDTF">2019-10-14T13:54:00Z</dcterms:modified>
  <cp:revision>6</cp:revision>
</cp:coreProperties>
</file>