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5C" w:rsidRPr="00F4243A" w:rsidRDefault="00C8591A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</w:t>
      </w:r>
      <w:r w:rsidR="0046545C" w:rsidRPr="00F4243A">
        <w:rPr>
          <w:rFonts w:ascii="Times New Roman" w:hAnsi="Times New Roman"/>
          <w:szCs w:val="24"/>
        </w:rPr>
        <w:t>OJETO DE LEI Nº</w:t>
      </w:r>
      <w:r w:rsidR="007679F1">
        <w:rPr>
          <w:rFonts w:ascii="Times New Roman" w:hAnsi="Times New Roman"/>
          <w:szCs w:val="24"/>
        </w:rPr>
        <w:t xml:space="preserve"> _____</w:t>
      </w:r>
      <w:r w:rsidR="00302677">
        <w:rPr>
          <w:rFonts w:ascii="Times New Roman" w:hAnsi="Times New Roman"/>
          <w:szCs w:val="24"/>
        </w:rPr>
        <w:t xml:space="preserve"> </w:t>
      </w:r>
      <w:r w:rsidR="0046545C" w:rsidRPr="00F4243A">
        <w:rPr>
          <w:rFonts w:ascii="Times New Roman" w:hAnsi="Times New Roman"/>
          <w:szCs w:val="24"/>
        </w:rPr>
        <w:t xml:space="preserve">DE </w:t>
      </w:r>
      <w:r w:rsidR="00AA344E">
        <w:rPr>
          <w:rFonts w:ascii="Times New Roman" w:hAnsi="Times New Roman"/>
          <w:szCs w:val="24"/>
        </w:rPr>
        <w:t>202</w:t>
      </w:r>
      <w:r w:rsidR="009C4C89">
        <w:rPr>
          <w:rFonts w:ascii="Times New Roman" w:hAnsi="Times New Roman"/>
          <w:szCs w:val="24"/>
        </w:rPr>
        <w:t>1</w:t>
      </w:r>
    </w:p>
    <w:p w:rsidR="0046545C" w:rsidRPr="00F4243A" w:rsidRDefault="0046545C" w:rsidP="0046545C">
      <w:pPr>
        <w:pStyle w:val="Ementa"/>
        <w:ind w:left="0"/>
        <w:rPr>
          <w:rFonts w:ascii="Times New Roman" w:hAnsi="Times New Roman" w:cs="Times New Roman"/>
          <w:sz w:val="24"/>
          <w:szCs w:val="24"/>
        </w:rPr>
      </w:pPr>
    </w:p>
    <w:p w:rsidR="0046545C" w:rsidRDefault="00814411" w:rsidP="00814411">
      <w:pPr>
        <w:pStyle w:val="Ementa"/>
        <w:ind w:left="340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14411">
        <w:rPr>
          <w:rFonts w:ascii="Times New Roman" w:hAnsi="Times New Roman" w:cs="Times New Roman"/>
          <w:b/>
          <w:sz w:val="24"/>
          <w:szCs w:val="24"/>
        </w:rPr>
        <w:t xml:space="preserve">DISPÕE </w:t>
      </w:r>
      <w:r w:rsidRPr="006B7DD0">
        <w:rPr>
          <w:rFonts w:ascii="Times New Roman" w:hAnsi="Times New Roman" w:cs="Times New Roman"/>
          <w:b/>
          <w:sz w:val="24"/>
          <w:szCs w:val="24"/>
        </w:rPr>
        <w:t>SOBRE</w:t>
      </w:r>
      <w:r w:rsidR="006B7DD0" w:rsidRPr="006B7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8A1" w:rsidRPr="006B7DD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B7DD0" w:rsidRPr="006B7DD0">
        <w:rPr>
          <w:rFonts w:ascii="Times New Roman" w:hAnsi="Times New Roman" w:cs="Times New Roman"/>
          <w:b/>
          <w:sz w:val="24"/>
          <w:szCs w:val="24"/>
        </w:rPr>
        <w:t>GARANTIA</w:t>
      </w:r>
      <w:r w:rsidR="00DF68A1" w:rsidRPr="006B7DD0">
        <w:rPr>
          <w:rFonts w:ascii="Times New Roman" w:hAnsi="Times New Roman" w:cs="Times New Roman"/>
          <w:b/>
          <w:sz w:val="24"/>
          <w:szCs w:val="24"/>
        </w:rPr>
        <w:t xml:space="preserve"> DO ACESSO À INFORMAÇÃO</w:t>
      </w:r>
      <w:r w:rsidR="007679F1" w:rsidRPr="006B7DD0">
        <w:rPr>
          <w:rFonts w:ascii="Times New Roman" w:hAnsi="Times New Roman" w:cs="Times New Roman"/>
          <w:b/>
          <w:sz w:val="24"/>
          <w:szCs w:val="24"/>
        </w:rPr>
        <w:t>,</w:t>
      </w:r>
      <w:r w:rsidR="00546213" w:rsidRPr="006B7DD0">
        <w:rPr>
          <w:rFonts w:ascii="Times New Roman" w:hAnsi="Times New Roman" w:cs="Times New Roman"/>
          <w:b/>
          <w:sz w:val="24"/>
          <w:szCs w:val="24"/>
        </w:rPr>
        <w:t xml:space="preserve"> COM A TRANSPARÊNCIA,</w:t>
      </w:r>
      <w:r w:rsidR="007679F1" w:rsidRPr="006B7DD0">
        <w:rPr>
          <w:rFonts w:ascii="Times New Roman" w:hAnsi="Times New Roman" w:cs="Times New Roman"/>
          <w:b/>
          <w:sz w:val="24"/>
          <w:szCs w:val="24"/>
        </w:rPr>
        <w:t xml:space="preserve"> NA INTERNET, DA LISTA</w:t>
      </w:r>
      <w:r w:rsidR="00DF68A1" w:rsidRPr="006B7DD0">
        <w:rPr>
          <w:rFonts w:ascii="Times New Roman" w:hAnsi="Times New Roman" w:cs="Times New Roman"/>
          <w:b/>
          <w:sz w:val="24"/>
          <w:szCs w:val="24"/>
        </w:rPr>
        <w:t>GEM</w:t>
      </w:r>
      <w:r w:rsidR="00767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8A1">
        <w:rPr>
          <w:rFonts w:ascii="Times New Roman" w:hAnsi="Times New Roman" w:cs="Times New Roman"/>
          <w:b/>
          <w:sz w:val="24"/>
          <w:szCs w:val="24"/>
        </w:rPr>
        <w:t>DE</w:t>
      </w:r>
      <w:r w:rsidR="007679F1">
        <w:rPr>
          <w:rFonts w:ascii="Times New Roman" w:hAnsi="Times New Roman" w:cs="Times New Roman"/>
          <w:b/>
          <w:sz w:val="24"/>
          <w:szCs w:val="24"/>
        </w:rPr>
        <w:t xml:space="preserve"> PACIENTES QUE AGUARDAM POR CONSULTAS, EXAMES E INTERVENÇÕES CIRÚRGICAS DA</w:t>
      </w:r>
      <w:r w:rsidR="00DF6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9F1">
        <w:rPr>
          <w:rFonts w:ascii="Times New Roman" w:hAnsi="Times New Roman" w:cs="Times New Roman"/>
          <w:b/>
          <w:sz w:val="24"/>
          <w:szCs w:val="24"/>
        </w:rPr>
        <w:t>REDE PÚBLICA DE SAÚDE DO ESTADO DO MARANHÃO.</w:t>
      </w:r>
    </w:p>
    <w:bookmarkEnd w:id="0"/>
    <w:p w:rsidR="00814411" w:rsidRPr="00F4243A" w:rsidRDefault="00814411" w:rsidP="00814411">
      <w:pPr>
        <w:pStyle w:val="Ementa"/>
        <w:rPr>
          <w:rFonts w:ascii="Times New Roman" w:hAnsi="Times New Roman" w:cs="Times New Roman"/>
          <w:sz w:val="24"/>
          <w:szCs w:val="24"/>
        </w:rPr>
      </w:pPr>
    </w:p>
    <w:p w:rsidR="008F1804" w:rsidRPr="007679F1" w:rsidRDefault="007679F1" w:rsidP="008F1804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1º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8F18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 garantido aos pacientes que estejam aguardando consultas, exames, intervenções cirúrgicas e quaisquer outros procedimentos de saúde, oferecidos pelo SUS, no âmbito do Estado do Maranhão, acesso à</w:t>
      </w:r>
      <w:r w:rsidR="00A45E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informação da</w:t>
      </w:r>
      <w:r w:rsidR="008F18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B7D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lista</w:t>
      </w:r>
      <w:r w:rsidR="008F18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inscritos para tratamento, discriminando a posição de cada um, bem como as datas de agendamento, devendo ser atualizadas à medida que forem efetivadas alterações.</w:t>
      </w:r>
    </w:p>
    <w:p w:rsidR="007679F1" w:rsidRPr="007679F1" w:rsidRDefault="007679F1" w:rsidP="007679F1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Parágrafo único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96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96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garantir acesso à informação atualizado, a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listagens disponibilizadas devem ser específicas para cada modalidade de consulta</w:t>
      </w:r>
      <w:r w:rsidR="001D52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discriminando a</w:t>
      </w:r>
      <w:r w:rsidR="00696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especialidade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exame, intervenção cirúrgica ou procedimentos e abranger todos os pacientes inscritos em quaisquer das unidades do S</w:t>
      </w:r>
      <w:r w:rsidR="00BA1B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istema Único de Saúde do Estado do Maranhão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incluindo as unidades conveniadas e outros prestadores que recebam recursos públicos.</w:t>
      </w:r>
    </w:p>
    <w:p w:rsidR="007679F1" w:rsidRPr="007679F1" w:rsidRDefault="007679F1" w:rsidP="007679F1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2º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divulgação das informações de que trata esta Lei deve observar o direito à privacidade do paciente</w:t>
      </w:r>
      <w:r w:rsidRPr="006B7D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5E6BC3" w:rsidRPr="006B7D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assegurando sigilo de dados pessoais, como endereço,</w:t>
      </w:r>
      <w:r w:rsidRPr="006B7D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6BC3" w:rsidRPr="006B7D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número de registro geral (RG), Cadastro de Pessoas Físicas - CPF, mediante divulgação apenas do</w:t>
      </w:r>
      <w:r w:rsidRPr="006B7D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núme</w:t>
      </w:r>
      <w:r w:rsidR="00BA1B36" w:rsidRPr="006B7D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ro do Cartão Nacional de Saúde - </w:t>
      </w:r>
      <w:r w:rsidRPr="006B7D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CNS</w:t>
      </w:r>
      <w:r w:rsidR="005E6BC3" w:rsidRPr="006B7D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679F1" w:rsidRPr="007679F1" w:rsidRDefault="007679F1" w:rsidP="007679F1">
      <w:pPr>
        <w:spacing w:after="24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3º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lista de espera de que trata esta Lei deve seguir a ordem de inscrição para a chamada dos pacientes,</w:t>
      </w:r>
      <w:r w:rsidR="001D52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bem como os critérios técnicos,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salvo nos procedimentos emergenciais, reconhecidos como tal.</w:t>
      </w:r>
      <w:r w:rsidR="001D52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7679F1" w:rsidRPr="007679F1" w:rsidRDefault="007679F1" w:rsidP="007679F1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Parágrafo único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D52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D52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fins de aplicação da presente lei, serão reconhecidos como procedimentos emergenciais </w:t>
      </w:r>
      <w:r w:rsidR="00E84F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àqueles definidos pelo médico, devidamente </w:t>
      </w:r>
      <w:r w:rsidR="00E84F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identificado pelo nome e CRM, em documento contendo as informações do paciente e as causas justificadoras da emergência.</w:t>
      </w:r>
    </w:p>
    <w:p w:rsidR="005E6BC3" w:rsidRDefault="007679F1" w:rsidP="007679F1">
      <w:pPr>
        <w:spacing w:after="24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Art. 4º </w:t>
      </w:r>
      <w:r w:rsidRPr="006B7D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5E6BC3" w:rsidRPr="006B7D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divulgação da ordem de espera deve ser realizada por meio de sítio eletrônico oficial a ser disponibilizado na rede mundial de computadores, sendo assegurada a possibilidade de consulta da fila de maneira presencial nas unidades de saúde, bem como a disponibilização de outros meios que viabilizem o acesso à informação.</w:t>
      </w:r>
      <w:r w:rsidRPr="006B7D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7679F1" w:rsidRPr="007679F1" w:rsidRDefault="005E6BC3" w:rsidP="007679F1">
      <w:pPr>
        <w:spacing w:after="24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6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§1 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679F1" w:rsidRPr="005E6B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listas de espera divulgadas devem conter</w:t>
      </w:r>
      <w:r w:rsidR="00E84F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mínimo, as seguintes informações</w:t>
      </w:r>
      <w:r w:rsidR="007679F1" w:rsidRPr="005E6B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7679F1" w:rsidRPr="007679F1" w:rsidRDefault="007679F1" w:rsidP="007679F1">
      <w:pPr>
        <w:spacing w:after="24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I 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data de solicitação da consulta discriminada por especialidade, do exame, das intervenções cirúrgicas ou de outros procedimentos;</w:t>
      </w:r>
    </w:p>
    <w:p w:rsidR="007679F1" w:rsidRPr="007679F1" w:rsidRDefault="007679F1" w:rsidP="007679F1">
      <w:pPr>
        <w:spacing w:after="24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II 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posição que o paciente ocupa na fila de espera;</w:t>
      </w:r>
    </w:p>
    <w:p w:rsidR="007679F1" w:rsidRPr="007679F1" w:rsidRDefault="007679F1" w:rsidP="007679F1">
      <w:pPr>
        <w:spacing w:after="24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III 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nome completo dos inscritos habilitados para a respectiva consulta, exame, intervenção cirúrgica ou outros procedimentos;</w:t>
      </w:r>
    </w:p>
    <w:p w:rsidR="007679F1" w:rsidRPr="007679F1" w:rsidRDefault="007679F1" w:rsidP="007679F1">
      <w:pPr>
        <w:spacing w:after="24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IV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relação dos pacientes já atendidos, por meio da divulgação do número do Cartão Nacional </w:t>
      </w:r>
      <w:r w:rsidR="00BA1B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Saúde - CNS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</w:t>
      </w:r>
      <w:r w:rsidR="00BA1B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Cadastro de Pessoas Físicas - CPF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7679F1" w:rsidRPr="007679F1" w:rsidRDefault="007679F1" w:rsidP="007679F1">
      <w:pPr>
        <w:spacing w:after="24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especificação do tipo de consulta discriminada por especialidade, exame, intervenção cirúrgica ou outros procedimentos; e</w:t>
      </w:r>
    </w:p>
    <w:p w:rsidR="007679F1" w:rsidRPr="007679F1" w:rsidRDefault="007679F1" w:rsidP="007679F1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VI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estimativa de prazo para o atendimento solicitado.</w:t>
      </w:r>
    </w:p>
    <w:p w:rsidR="007679F1" w:rsidRPr="007679F1" w:rsidRDefault="007679F1" w:rsidP="007679F1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5º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BA1B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875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listas de espera tratadas na presente lei poderão ser </w:t>
      </w:r>
      <w:r w:rsidR="00E84F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disponibilizad</w:t>
      </w:r>
      <w:r w:rsidR="006875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gratuitamente para consulta telefônica</w:t>
      </w:r>
      <w:r w:rsidR="00E84F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promovendo acesso</w:t>
      </w:r>
      <w:r w:rsidR="006875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igualitário </w:t>
      </w:r>
      <w:r w:rsidR="00E84F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aos pacientes</w:t>
      </w:r>
      <w:r w:rsidR="006875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E84F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7679F1" w:rsidRPr="007679F1" w:rsidRDefault="007679F1" w:rsidP="007679F1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6º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unidades de saúde afixarão em local visível as principais informações desta Lei.</w:t>
      </w:r>
    </w:p>
    <w:p w:rsidR="006B7DD0" w:rsidRPr="007679F1" w:rsidRDefault="006B7DD0" w:rsidP="006B7DD0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Art. 7º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Pr="006B7D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poder executivo do Estado do Maranhão regulamentará o disposto na presente lei em noventa dias a contar da publicação regulamentando procedimentos e esferas de competência de órgãos responsáveis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679F1" w:rsidRDefault="006B7DD0" w:rsidP="007679F1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7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 -</w:t>
      </w:r>
      <w:r w:rsid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679F1"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 Lei entra em vigor no prazo de 120 (cento e vinte) dias a contar da data de sua publicação.</w:t>
      </w:r>
    </w:p>
    <w:p w:rsidR="00713F20" w:rsidRDefault="00713F20" w:rsidP="00880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EC" w:rsidRDefault="001869EC" w:rsidP="0046545C">
      <w:pPr>
        <w:pStyle w:val="Ttulo3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43972" w:rsidRPr="00043972" w:rsidRDefault="00043972" w:rsidP="00043972"/>
    <w:p w:rsidR="0042282F" w:rsidRDefault="0042282F" w:rsidP="00C859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82F" w:rsidRPr="00043972" w:rsidRDefault="00043972" w:rsidP="00C8591A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043972" w:rsidRDefault="00043972" w:rsidP="00C859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73" w:rsidRDefault="00A45E73" w:rsidP="00A45E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DD0" w:rsidRDefault="006B7DD0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DD0" w:rsidRDefault="006B7DD0" w:rsidP="006B7D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91A" w:rsidRDefault="00C8591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91A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C8591A" w:rsidRDefault="00C8591A" w:rsidP="00C8591A">
      <w:pPr>
        <w:pStyle w:val="Ttulo1"/>
        <w:tabs>
          <w:tab w:val="left" w:pos="7797"/>
        </w:tabs>
        <w:jc w:val="center"/>
        <w:rPr>
          <w:rFonts w:ascii="Times New Roman" w:hAnsi="Times New Roman"/>
        </w:rPr>
      </w:pPr>
    </w:p>
    <w:p w:rsidR="00BA1B36" w:rsidRDefault="00BA1B36" w:rsidP="0036343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43972">
        <w:rPr>
          <w:rFonts w:ascii="Times New Roman" w:hAnsi="Times New Roman" w:cs="Times New Roman"/>
          <w:sz w:val="24"/>
          <w:szCs w:val="24"/>
        </w:rPr>
        <w:t>O</w:t>
      </w:r>
      <w:r w:rsidR="00D23D3D" w:rsidRPr="00043972">
        <w:rPr>
          <w:rFonts w:ascii="Times New Roman" w:hAnsi="Times New Roman" w:cs="Times New Roman"/>
          <w:sz w:val="24"/>
          <w:szCs w:val="24"/>
        </w:rPr>
        <w:t xml:space="preserve"> Projeto de Lei Ordinária</w:t>
      </w:r>
      <w:r w:rsidR="002B6F88" w:rsidRPr="00043972">
        <w:rPr>
          <w:rFonts w:ascii="Times New Roman" w:hAnsi="Times New Roman" w:cs="Times New Roman"/>
          <w:sz w:val="24"/>
          <w:szCs w:val="24"/>
        </w:rPr>
        <w:t xml:space="preserve"> </w:t>
      </w:r>
      <w:r w:rsidRPr="00043972">
        <w:rPr>
          <w:rFonts w:ascii="Times New Roman" w:hAnsi="Times New Roman" w:cs="Times New Roman"/>
          <w:sz w:val="24"/>
          <w:szCs w:val="24"/>
        </w:rPr>
        <w:t>o</w:t>
      </w:r>
      <w:r w:rsidR="002B6F88" w:rsidRPr="00043972">
        <w:rPr>
          <w:rFonts w:ascii="Times New Roman" w:hAnsi="Times New Roman" w:cs="Times New Roman"/>
          <w:sz w:val="24"/>
          <w:szCs w:val="24"/>
        </w:rPr>
        <w:t>ra apresentado</w:t>
      </w:r>
      <w:r w:rsidR="00D23D3D" w:rsidRPr="00043972">
        <w:rPr>
          <w:rFonts w:ascii="Times New Roman" w:hAnsi="Times New Roman" w:cs="Times New Roman"/>
          <w:sz w:val="24"/>
          <w:szCs w:val="24"/>
        </w:rPr>
        <w:t xml:space="preserve"> a esta Casa, dispõe </w:t>
      </w:r>
      <w:r w:rsidRPr="00043972">
        <w:rPr>
          <w:rFonts w:ascii="Times New Roman" w:hAnsi="Times New Roman" w:cs="Times New Roman"/>
          <w:sz w:val="24"/>
          <w:szCs w:val="24"/>
        </w:rPr>
        <w:t>sobre a</w:t>
      </w:r>
      <w:r w:rsidR="00C25FC7" w:rsidRPr="00043972">
        <w:rPr>
          <w:rFonts w:ascii="Times New Roman" w:hAnsi="Times New Roman" w:cs="Times New Roman"/>
          <w:sz w:val="24"/>
          <w:szCs w:val="24"/>
        </w:rPr>
        <w:t xml:space="preserve"> transparência e o acesso à informação</w:t>
      </w:r>
      <w:r w:rsidRPr="00043972">
        <w:rPr>
          <w:rFonts w:ascii="Times New Roman" w:hAnsi="Times New Roman" w:cs="Times New Roman"/>
          <w:sz w:val="24"/>
          <w:szCs w:val="24"/>
        </w:rPr>
        <w:t>, na internet, da lista de espera dos pacientes que aguardam por consultas, exames e intervenções</w:t>
      </w:r>
      <w:r w:rsidRPr="00BA1B36">
        <w:rPr>
          <w:rFonts w:ascii="Times New Roman" w:hAnsi="Times New Roman" w:cs="Times New Roman"/>
          <w:sz w:val="24"/>
          <w:szCs w:val="24"/>
        </w:rPr>
        <w:t xml:space="preserve"> cirúrgicas da</w:t>
      </w:r>
      <w:r>
        <w:rPr>
          <w:rFonts w:ascii="Times New Roman" w:hAnsi="Times New Roman" w:cs="Times New Roman"/>
          <w:sz w:val="24"/>
          <w:szCs w:val="24"/>
        </w:rPr>
        <w:t xml:space="preserve"> rede pública de saúde do Estado do M</w:t>
      </w:r>
      <w:r w:rsidRPr="00BA1B36">
        <w:rPr>
          <w:rFonts w:ascii="Times New Roman" w:hAnsi="Times New Roman" w:cs="Times New Roman"/>
          <w:sz w:val="24"/>
          <w:szCs w:val="24"/>
        </w:rPr>
        <w:t>aranhão</w:t>
      </w:r>
      <w:r>
        <w:rPr>
          <w:rFonts w:ascii="Times New Roman" w:hAnsi="Times New Roman" w:cs="Times New Roman"/>
          <w:sz w:val="24"/>
          <w:szCs w:val="24"/>
        </w:rPr>
        <w:t>. A proposição é inspirada na Lei Estadual nº 17.066 de 2017 do Estado de Santa Catarina e foi apresentada a este parlamentar pela Associação dos Magistrados do Maranhão, com a convicção de que a adoção da iniciativa n</w:t>
      </w:r>
      <w:r w:rsidR="00043972">
        <w:rPr>
          <w:rFonts w:ascii="Times New Roman" w:hAnsi="Times New Roman" w:cs="Times New Roman"/>
          <w:sz w:val="24"/>
          <w:szCs w:val="24"/>
        </w:rPr>
        <w:t>este Estado</w:t>
      </w:r>
      <w:r>
        <w:rPr>
          <w:rFonts w:ascii="Times New Roman" w:hAnsi="Times New Roman" w:cs="Times New Roman"/>
          <w:sz w:val="24"/>
          <w:szCs w:val="24"/>
        </w:rPr>
        <w:t xml:space="preserve"> contribuirá para a transparência da política pública de saúde estadual e para a racionalização da judicialização da saúde, pois os operadores do Sistema de Justiça, especialmente os magistrados estaduais, terão acesso à composição das filas de espera e aos critérios objetivos estabelecidos pela proposição sugerida. Dessa forma, eventual determinação judicial estará pautada em protocolos </w:t>
      </w:r>
      <w:r w:rsidR="00AF2039">
        <w:rPr>
          <w:rFonts w:ascii="Times New Roman" w:hAnsi="Times New Roman" w:cs="Times New Roman"/>
          <w:sz w:val="24"/>
          <w:szCs w:val="24"/>
        </w:rPr>
        <w:t xml:space="preserve">clínicos ou ordem cronológica e não resultará na priorização de paciente que está na mesma situação clínica de outros que aguardam administrativamente pelo atendimento. </w:t>
      </w:r>
    </w:p>
    <w:p w:rsidR="00AF2039" w:rsidRDefault="00AF2039" w:rsidP="0036343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proposição está de acordo com as aspirações do Poder Judiciário do Estado do Maranhão, que tem envidado esforços para a criação de uma vara especializada em saúde pública, a qual foi objeto de solicitação deste parlamentar ao Tribunal de Justiça, por meio da </w:t>
      </w:r>
      <w:r w:rsidRPr="00AF2039">
        <w:rPr>
          <w:rFonts w:ascii="Times New Roman" w:hAnsi="Times New Roman" w:cs="Times New Roman"/>
          <w:b/>
          <w:sz w:val="24"/>
          <w:szCs w:val="24"/>
        </w:rPr>
        <w:t>Indicação nº 653 de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poderá contribuir muito na redução do número de processos judiciais para realização de consultas, cirurgias e exames, bem como com o cumprimento do Enunciado 93 da III Jornada de Direito da Saúde do Conselho Nacional de Justiça – CNJ, que considera excessiva a espera do paciente por tempo superior a cem dias para consultas e exames, e de cento e oitenta dias para cirurgias e tratamentos. </w:t>
      </w:r>
    </w:p>
    <w:p w:rsidR="00AF2039" w:rsidRPr="00AF2039" w:rsidRDefault="00AF2039" w:rsidP="00AF203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43972">
        <w:rPr>
          <w:rFonts w:ascii="Times New Roman" w:hAnsi="Times New Roman" w:cs="Times New Roman"/>
          <w:sz w:val="24"/>
          <w:szCs w:val="24"/>
        </w:rPr>
        <w:t xml:space="preserve">Trata-se, assim, </w:t>
      </w:r>
      <w:r w:rsidR="00043972" w:rsidRPr="00043972">
        <w:rPr>
          <w:rFonts w:ascii="Times New Roman" w:hAnsi="Times New Roman" w:cs="Times New Roman"/>
          <w:sz w:val="24"/>
          <w:szCs w:val="24"/>
        </w:rPr>
        <w:t>de garantia constitucional de acesso à informação, portanto</w:t>
      </w:r>
      <w:r w:rsidR="00A674E4" w:rsidRPr="00043972">
        <w:rPr>
          <w:rFonts w:ascii="Times New Roman" w:hAnsi="Times New Roman" w:cs="Times New Roman"/>
          <w:sz w:val="24"/>
          <w:szCs w:val="24"/>
        </w:rPr>
        <w:t xml:space="preserve"> merece prosperar,</w:t>
      </w:r>
      <w:r w:rsidRPr="00043972">
        <w:rPr>
          <w:rFonts w:ascii="Times New Roman" w:hAnsi="Times New Roman" w:cs="Times New Roman"/>
          <w:sz w:val="24"/>
          <w:szCs w:val="24"/>
        </w:rPr>
        <w:t xml:space="preserve"> tendo em vista </w:t>
      </w:r>
      <w:r w:rsidR="00A674E4" w:rsidRPr="00043972">
        <w:rPr>
          <w:rFonts w:ascii="Times New Roman" w:hAnsi="Times New Roman" w:cs="Times New Roman"/>
          <w:sz w:val="24"/>
          <w:szCs w:val="24"/>
        </w:rPr>
        <w:t xml:space="preserve">que coaduna com o </w:t>
      </w:r>
      <w:r w:rsidRPr="00043972">
        <w:rPr>
          <w:rFonts w:ascii="Times New Roman" w:hAnsi="Times New Roman" w:cs="Times New Roman"/>
          <w:sz w:val="24"/>
          <w:szCs w:val="24"/>
        </w:rPr>
        <w:t xml:space="preserve">princípio da </w:t>
      </w:r>
      <w:r w:rsidRPr="00043972">
        <w:rPr>
          <w:rFonts w:ascii="Times New Roman" w:hAnsi="Times New Roman" w:cs="Times New Roman"/>
          <w:b/>
          <w:sz w:val="24"/>
          <w:szCs w:val="24"/>
        </w:rPr>
        <w:t>publicidade</w:t>
      </w:r>
      <w:r w:rsidR="00C672FD" w:rsidRPr="00043972">
        <w:rPr>
          <w:rFonts w:ascii="Times New Roman" w:hAnsi="Times New Roman" w:cs="Times New Roman"/>
          <w:sz w:val="24"/>
          <w:szCs w:val="24"/>
        </w:rPr>
        <w:t xml:space="preserve">, eficiência, legalidade, impessoalidade, moralidade, presentes no art. 37 da Constituição Federal, regendo a Administração Pública </w:t>
      </w:r>
      <w:r w:rsidR="001D3AFE" w:rsidRPr="00043972">
        <w:rPr>
          <w:rFonts w:ascii="Times New Roman" w:hAnsi="Times New Roman" w:cs="Times New Roman"/>
          <w:sz w:val="24"/>
          <w:szCs w:val="24"/>
        </w:rPr>
        <w:t>direta e indireta.</w:t>
      </w:r>
      <w:r w:rsidRPr="00043972">
        <w:rPr>
          <w:rFonts w:ascii="Times New Roman" w:hAnsi="Times New Roman" w:cs="Times New Roman"/>
          <w:sz w:val="24"/>
          <w:szCs w:val="24"/>
        </w:rPr>
        <w:t xml:space="preserve"> Nesse sentido, a</w:t>
      </w:r>
      <w:r w:rsidRPr="00043972">
        <w:rPr>
          <w:rFonts w:ascii="Times New Roman" w:eastAsia="Times New Roman" w:hAnsi="Times New Roman" w:cs="Times New Roman"/>
          <w:sz w:val="24"/>
          <w:szCs w:val="24"/>
        </w:rPr>
        <w:t xml:space="preserve"> proposição surge para contrapor-se às excessivas amarras impostas ao Poder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Legislativo estadual e está de acordo com o entendimento do Supremo Tribunal Federal, que teve três momentos: </w:t>
      </w:r>
      <w:r w:rsidRPr="00A93FCA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primeiro, onde defendia a competência privativa do Poder Executivo na iniciativa de leis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sobre a Administração Pública; </w:t>
      </w:r>
      <w:r w:rsidRPr="00A93FCA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segundo, que sustentava a competência privativa do Poder Executivo na iniciativa de leis que criem órgãos e fixem suas atribuições e; </w:t>
      </w:r>
      <w:r w:rsidRPr="00A93FCA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terceiro e mais recente, em que a Corte declarou a constitucionalidade de duas leis de iniciativa parlamentar que criavam programas de políticas públicas (a saber, os casos são o </w:t>
      </w:r>
      <w:r w:rsidRPr="00627A45">
        <w:rPr>
          <w:rFonts w:ascii="Times New Roman" w:eastAsia="Times New Roman" w:hAnsi="Times New Roman" w:cs="Times New Roman"/>
          <w:sz w:val="24"/>
          <w:szCs w:val="24"/>
        </w:rPr>
        <w:t>AgR no RE nº 290.549/RJ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a </w:t>
      </w:r>
      <w:r w:rsidRPr="00627A45">
        <w:rPr>
          <w:rFonts w:ascii="Times New Roman" w:hAnsi="Times New Roman" w:cs="Times New Roman"/>
          <w:sz w:val="24"/>
          <w:szCs w:val="24"/>
        </w:rPr>
        <w:t>ADI nº 3.394/AM).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 trecho do voto do Relator do AgR no RE nº 290.549/RJ, o Ministro Dias Toffoli, merece ser destacado para demonstrar a possibilidade de que o Poder Legislativo edite normas sobre políticas públicas sem que sobre elas recaia qualquer vício de inconstitucionalidade e por ser muito similar ao estabelecido pelo § 2º da proposição submetida a esta Casa: </w:t>
      </w:r>
    </w:p>
    <w:p w:rsidR="00AF2039" w:rsidRPr="00627A45" w:rsidRDefault="00AF2039" w:rsidP="00AF2039">
      <w:pPr>
        <w:pStyle w:val="Normal1"/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7A45">
        <w:rPr>
          <w:rFonts w:ascii="Times New Roman" w:eastAsia="Times New Roman" w:hAnsi="Times New Roman" w:cs="Times New Roman"/>
          <w:sz w:val="20"/>
          <w:szCs w:val="20"/>
        </w:rPr>
        <w:t xml:space="preserve">(...) a criação do programa instituído por meio dessa lei apenas tinha por objetivo fomentar a prática de esportes em vias e logradouros públicos, </w:t>
      </w:r>
      <w:r w:rsidRPr="00627A45">
        <w:rPr>
          <w:rFonts w:ascii="Times New Roman" w:eastAsia="Times New Roman" w:hAnsi="Times New Roman" w:cs="Times New Roman"/>
          <w:b/>
          <w:sz w:val="20"/>
          <w:szCs w:val="20"/>
        </w:rPr>
        <w:t>tendo ficado expressamente consignado nesse texto legal que ‘a implantação, coordenação e acompanhamento do programa ficará a cargo do órgão competente do Poder Executivo’</w:t>
      </w:r>
      <w:r w:rsidRPr="00627A45">
        <w:rPr>
          <w:rFonts w:ascii="Times New Roman" w:eastAsia="Times New Roman" w:hAnsi="Times New Roman" w:cs="Times New Roman"/>
          <w:sz w:val="20"/>
          <w:szCs w:val="20"/>
        </w:rPr>
        <w:t>, a quem incumbirá, também, aprovar as vias designadas pelos moradores para a execução do programa.</w:t>
      </w:r>
    </w:p>
    <w:p w:rsidR="00AF2039" w:rsidRDefault="00AF2039" w:rsidP="00AF2039">
      <w:pPr>
        <w:pStyle w:val="Normal1"/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7A45">
        <w:rPr>
          <w:rFonts w:ascii="Times New Roman" w:eastAsia="Times New Roman" w:hAnsi="Times New Roman" w:cs="Times New Roman"/>
          <w:sz w:val="20"/>
          <w:szCs w:val="20"/>
        </w:rPr>
        <w:t xml:space="preserve">(RE nº 290.549/RJ,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Rel. Ministro Dias Toffoli. Dje 29.03.2012, </w:t>
      </w:r>
      <w:r w:rsidRPr="00627A45">
        <w:rPr>
          <w:rFonts w:ascii="Times New Roman" w:eastAsia="Times New Roman" w:hAnsi="Times New Roman" w:cs="Times New Roman"/>
          <w:sz w:val="20"/>
          <w:szCs w:val="20"/>
        </w:rPr>
        <w:t>Supremo Tribunal Federal - STF)</w:t>
      </w:r>
    </w:p>
    <w:p w:rsidR="00AF2039" w:rsidRDefault="00AF2039" w:rsidP="00AF2039">
      <w:pPr>
        <w:pStyle w:val="Normal1"/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63FF" w:rsidRPr="00043972" w:rsidRDefault="001D3AFE" w:rsidP="00EA63FF">
      <w:pPr>
        <w:pStyle w:val="Normal1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972">
        <w:rPr>
          <w:rFonts w:ascii="Times New Roman" w:eastAsia="Times New Roman" w:hAnsi="Times New Roman" w:cs="Times New Roman"/>
          <w:sz w:val="24"/>
          <w:szCs w:val="24"/>
        </w:rPr>
        <w:t>Nes</w:t>
      </w:r>
      <w:r w:rsidR="00EA63FF" w:rsidRPr="00043972">
        <w:rPr>
          <w:rFonts w:ascii="Times New Roman" w:eastAsia="Times New Roman" w:hAnsi="Times New Roman" w:cs="Times New Roman"/>
          <w:sz w:val="24"/>
          <w:szCs w:val="24"/>
        </w:rPr>
        <w:t>sa perspectiva</w:t>
      </w:r>
      <w:r w:rsidRPr="00043972">
        <w:rPr>
          <w:rFonts w:ascii="Times New Roman" w:eastAsia="Times New Roman" w:hAnsi="Times New Roman" w:cs="Times New Roman"/>
          <w:sz w:val="24"/>
          <w:szCs w:val="24"/>
        </w:rPr>
        <w:t xml:space="preserve">, cabe ressaltar que a presente proposição não se encontra elencada no rol do </w:t>
      </w:r>
      <w:r w:rsidR="00AF2039" w:rsidRPr="00043972">
        <w:rPr>
          <w:rFonts w:ascii="Times New Roman" w:eastAsia="Times New Roman" w:hAnsi="Times New Roman" w:cs="Times New Roman"/>
          <w:sz w:val="24"/>
          <w:szCs w:val="24"/>
        </w:rPr>
        <w:t>art. 43 da Constituição do Estado do Maranhão</w:t>
      </w:r>
      <w:r w:rsidRPr="00043972">
        <w:rPr>
          <w:rFonts w:ascii="Times New Roman" w:eastAsia="Times New Roman" w:hAnsi="Times New Roman" w:cs="Times New Roman"/>
          <w:sz w:val="24"/>
          <w:szCs w:val="24"/>
        </w:rPr>
        <w:t>, que dispõe sobre as matérias de competência privativa do Governador de Estado, porque não versa nem sobre a organização administrativa, tampouco sobre a delegação de atribuições a órgãos da administração pública estadual</w:t>
      </w:r>
      <w:r w:rsidR="00043972" w:rsidRPr="00043972">
        <w:rPr>
          <w:rFonts w:ascii="Times New Roman" w:eastAsia="Times New Roman" w:hAnsi="Times New Roman" w:cs="Times New Roman"/>
          <w:sz w:val="24"/>
          <w:szCs w:val="24"/>
        </w:rPr>
        <w:t>, mas sim de acesso à informação</w:t>
      </w:r>
      <w:r w:rsidRPr="00043972">
        <w:rPr>
          <w:rFonts w:ascii="Times New Roman" w:eastAsia="Times New Roman" w:hAnsi="Times New Roman" w:cs="Times New Roman"/>
          <w:sz w:val="24"/>
          <w:szCs w:val="24"/>
        </w:rPr>
        <w:t xml:space="preserve">.  Logo, por mais que esse artigo </w:t>
      </w:r>
      <w:r w:rsidR="00AF2039" w:rsidRPr="00043972">
        <w:rPr>
          <w:rFonts w:ascii="Times New Roman" w:eastAsia="Times New Roman" w:hAnsi="Times New Roman" w:cs="Times New Roman"/>
          <w:sz w:val="24"/>
          <w:szCs w:val="24"/>
        </w:rPr>
        <w:t>seja uma norma de repetição obrigatória (cujo parâmetro é o art. 61, § 1º, da Constituição Federal), note-se que não está suprimindo ou restringindo nenhuma das atribuições privativas do governador do Estado, tão somente acrescentando que o Poder Legislativo pode contribuir para a discussão sobre</w:t>
      </w:r>
      <w:r w:rsidR="00043972" w:rsidRPr="00043972">
        <w:rPr>
          <w:rFonts w:ascii="Times New Roman" w:eastAsia="Times New Roman" w:hAnsi="Times New Roman" w:cs="Times New Roman"/>
          <w:sz w:val="24"/>
          <w:szCs w:val="24"/>
        </w:rPr>
        <w:t xml:space="preserve"> direitos fundamentais</w:t>
      </w:r>
      <w:r w:rsidR="00AF2039" w:rsidRPr="00043972">
        <w:rPr>
          <w:rFonts w:ascii="Times New Roman" w:eastAsia="Times New Roman" w:hAnsi="Times New Roman" w:cs="Times New Roman"/>
          <w:sz w:val="24"/>
          <w:szCs w:val="24"/>
        </w:rPr>
        <w:t>, apresentando proposições que, de qualquer forma, passarão pelo poder sancionador do chefe do Poder Executivo estadual</w:t>
      </w:r>
      <w:r w:rsidR="00043972" w:rsidRPr="00043972">
        <w:rPr>
          <w:rFonts w:ascii="Times New Roman" w:eastAsia="Times New Roman" w:hAnsi="Times New Roman" w:cs="Times New Roman"/>
          <w:sz w:val="24"/>
          <w:szCs w:val="24"/>
        </w:rPr>
        <w:t xml:space="preserve"> e que por ele serão regulamentadas.</w:t>
      </w:r>
    </w:p>
    <w:p w:rsidR="00AF2039" w:rsidRDefault="001D3AFE" w:rsidP="00EA63FF">
      <w:pPr>
        <w:pStyle w:val="Normal1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972">
        <w:rPr>
          <w:rFonts w:ascii="Times New Roman" w:eastAsia="Times New Roman" w:hAnsi="Times New Roman" w:cs="Times New Roman"/>
          <w:sz w:val="24"/>
          <w:szCs w:val="24"/>
        </w:rPr>
        <w:t xml:space="preserve">No mais, destaca-se que a </w:t>
      </w:r>
      <w:r w:rsidRPr="00043972">
        <w:rPr>
          <w:rFonts w:ascii="Times New Roman" w:eastAsia="Times New Roman" w:hAnsi="Times New Roman" w:cs="Times New Roman"/>
          <w:b/>
          <w:sz w:val="24"/>
          <w:szCs w:val="24"/>
        </w:rPr>
        <w:t>função de legislar é típica deste Poder</w:t>
      </w:r>
      <w:r w:rsidRPr="00043972">
        <w:rPr>
          <w:rFonts w:ascii="Times New Roman" w:eastAsia="Times New Roman" w:hAnsi="Times New Roman" w:cs="Times New Roman"/>
          <w:sz w:val="24"/>
          <w:szCs w:val="24"/>
        </w:rPr>
        <w:t>, não sendo possível admitir o esvaziamento da atividade legislativa quando da interpretação, de forma ampliativa da reserva da iniciativa do Poder Executivo.</w:t>
      </w:r>
      <w:r w:rsidR="00AF2039" w:rsidRPr="00043972">
        <w:rPr>
          <w:rFonts w:ascii="Times New Roman" w:eastAsia="Times New Roman" w:hAnsi="Times New Roman" w:cs="Times New Roman"/>
          <w:sz w:val="24"/>
          <w:szCs w:val="24"/>
        </w:rPr>
        <w:t xml:space="preserve"> Isso significa que, em análise sobre o interesse público, pode valer-se do veto político se seu entendimento for de que contraria os interesses da sociedade e do Estado.</w:t>
      </w:r>
    </w:p>
    <w:p w:rsidR="00AF2039" w:rsidRDefault="00AF2039" w:rsidP="00AF2039">
      <w:pPr>
        <w:pStyle w:val="Normal1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 acordo com Cavalcante Filho (2013, p. 31)</w:t>
      </w:r>
      <w:r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F2039" w:rsidRDefault="00AF2039" w:rsidP="00AF2039">
      <w:pPr>
        <w:pStyle w:val="Normal1"/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00B">
        <w:rPr>
          <w:rFonts w:ascii="Times New Roman" w:hAnsi="Times New Roman" w:cs="Times New Roman"/>
          <w:sz w:val="20"/>
          <w:szCs w:val="20"/>
        </w:rPr>
        <w:t xml:space="preserve">Contudo, essa cláusula deve ser interpretada de forma restritiva, por conta de fatores históricos e dogmáticos. Não se pode nela ver uma inconstitucionalidade (por vício de iniciativa) de qualquer projeto de lei proposto pelo Legislativo e que trate sobre políticas públicas. Isso é assim porque o Legislativo tem a prerrogativa – e o dever – de concretizar os direitos fundamentais sociais, aos quais está constitucionalmente vinculado (art. 5º, § 1º). Dessa maneira, é possível defender uma interpretação da alínea e do inciso II do § 1º do art. 61 que seja compatível com a prerrogativa do legislador de formular políticas públicas. O que não se admite é que, por iniciativa parlamentar, se promova o redesenho de órgãos do Executivo, ou a criação de novas atribuições (ou mesmo de novos órgãos). Do mesmo modo, é inadmissível que o legislador edite meras leis autorizativas, ou, ainda, que invada o espaço constitucionalmente delimitado para o exercício da função administrativa (reserva de administração). </w:t>
      </w:r>
      <w:r w:rsidRPr="009E70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F2039" w:rsidRPr="009E700B" w:rsidRDefault="00AF2039" w:rsidP="00AF2039">
      <w:pPr>
        <w:pStyle w:val="Normal1"/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4673" w:rsidRPr="00043972" w:rsidRDefault="00BE4673" w:rsidP="00F44930">
      <w:pPr>
        <w:pStyle w:val="Normal1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972">
        <w:rPr>
          <w:rFonts w:ascii="Times New Roman" w:eastAsia="Times New Roman" w:hAnsi="Times New Roman" w:cs="Times New Roman"/>
          <w:sz w:val="24"/>
          <w:szCs w:val="24"/>
        </w:rPr>
        <w:t xml:space="preserve">Diante disso, percebe-se que a presente não cria deveres diversos daqueles já estabelecidos, bem como não implica em despesas extraordinárias. Tão somente se pleiteia condições igualitárias de acesso à informação, por meio de clareza aos usuários do Sistema Único de Saúde. Neste contexto, há diversas inciativas legislativas voltadas à transparência das listagens de espera de serviços do SUS, a saber, PL nº 361 / 2020 da Assembleia Legislativa de São Paulo, </w:t>
      </w:r>
      <w:r w:rsidR="00A674E4" w:rsidRPr="00043972">
        <w:rPr>
          <w:rFonts w:ascii="Times New Roman" w:eastAsia="Times New Roman" w:hAnsi="Times New Roman" w:cs="Times New Roman"/>
          <w:sz w:val="24"/>
          <w:szCs w:val="24"/>
        </w:rPr>
        <w:t>Projeto de Lei do Senado n° 140, de 201</w:t>
      </w:r>
      <w:r w:rsidR="00FB3FAD" w:rsidRPr="00043972">
        <w:rPr>
          <w:rFonts w:ascii="Times New Roman" w:eastAsia="Times New Roman" w:hAnsi="Times New Roman" w:cs="Times New Roman"/>
          <w:sz w:val="24"/>
          <w:szCs w:val="24"/>
        </w:rPr>
        <w:t xml:space="preserve">7, </w:t>
      </w:r>
      <w:r w:rsidRPr="00043972">
        <w:rPr>
          <w:rFonts w:ascii="Times New Roman" w:eastAsia="Times New Roman" w:hAnsi="Times New Roman" w:cs="Times New Roman"/>
          <w:sz w:val="24"/>
          <w:szCs w:val="24"/>
        </w:rPr>
        <w:t>Projeto de Lei do Senado n° 192, de 2018.</w:t>
      </w:r>
      <w:r w:rsidR="00230924" w:rsidRPr="00043972">
        <w:rPr>
          <w:rFonts w:ascii="Times New Roman" w:eastAsia="Times New Roman" w:hAnsi="Times New Roman" w:cs="Times New Roman"/>
          <w:sz w:val="24"/>
          <w:szCs w:val="24"/>
        </w:rPr>
        <w:t xml:space="preserve"> Há ainda as Leis nº 19.792, de 24 de julho de 2017, e nº 20.204, de 12 de julho de 2018, do Estado de Goiás, ambas vigentes</w:t>
      </w:r>
      <w:r w:rsidR="00FE2AE5" w:rsidRPr="00043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0079" w:rsidRPr="00043972" w:rsidRDefault="00210079" w:rsidP="00F44930">
      <w:pPr>
        <w:pStyle w:val="Normal1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972">
        <w:rPr>
          <w:rFonts w:ascii="Times New Roman" w:eastAsia="Times New Roman" w:hAnsi="Times New Roman" w:cs="Times New Roman"/>
          <w:sz w:val="24"/>
          <w:szCs w:val="24"/>
        </w:rPr>
        <w:t xml:space="preserve">Além disso, não se pode desconsiderar </w:t>
      </w:r>
      <w:r w:rsidRPr="00043972">
        <w:rPr>
          <w:rFonts w:ascii="Times New Roman" w:hAnsi="Times New Roman" w:cs="Times New Roman"/>
          <w:sz w:val="24"/>
          <w:szCs w:val="24"/>
        </w:rPr>
        <w:t>o marco fundamental que foi a Lei nº 12.527, de 18 de novembro de 2011, conhecida como Lei de Acesso à Informação, que obriga as instâncias públicas a fornecerem, salvo em casos específicos em que o sigilo é necessário, todas as informações requeridas por interessados. Ainda disciplina situações em que a disponibilização deve se dar independentemente de requerimento, com a divulgação direta e perene ao público.</w:t>
      </w:r>
      <w:r w:rsidR="00FE2AE5" w:rsidRPr="00043972">
        <w:rPr>
          <w:rFonts w:ascii="Times New Roman" w:hAnsi="Times New Roman" w:cs="Times New Roman"/>
          <w:sz w:val="24"/>
          <w:szCs w:val="24"/>
        </w:rPr>
        <w:t xml:space="preserve">  Todos esses procedimentos devem ser observados pela União, Estados, Distrito Federal e Municípios no que tange a permissão de acesso aos documentos públicos, sem ter que haver necessidade de acionar a Justiça para obter o conhecimento do seu teor.</w:t>
      </w:r>
    </w:p>
    <w:p w:rsidR="0036343F" w:rsidRDefault="00043972" w:rsidP="00AF2039">
      <w:pPr>
        <w:pStyle w:val="Normal1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Considerando, ainda,</w:t>
      </w:r>
      <w:r w:rsidR="0036343F" w:rsidRPr="0036343F">
        <w:rPr>
          <w:rFonts w:ascii="Times New Roman" w:hAnsi="Times New Roman" w:cs="Times New Roman"/>
          <w:sz w:val="24"/>
          <w:szCs w:val="24"/>
        </w:rPr>
        <w:t xml:space="preserve"> que compete aos Estados, concorrentemente com a União, legislar sobre a saúde (art. 24, XII da Constituição Federal e art. 12, II, </w:t>
      </w:r>
      <w:r w:rsidR="0036343F" w:rsidRPr="0036343F">
        <w:rPr>
          <w:rFonts w:ascii="Times New Roman" w:hAnsi="Times New Roman" w:cs="Times New Roman"/>
          <w:i/>
          <w:sz w:val="24"/>
          <w:szCs w:val="24"/>
        </w:rPr>
        <w:t>m</w:t>
      </w:r>
      <w:r w:rsidR="0036343F" w:rsidRPr="0036343F">
        <w:rPr>
          <w:rFonts w:ascii="Times New Roman" w:hAnsi="Times New Roman" w:cs="Times New Roman"/>
          <w:sz w:val="24"/>
          <w:szCs w:val="24"/>
        </w:rPr>
        <w:t xml:space="preserve"> </w:t>
      </w:r>
      <w:r w:rsidR="00AF2039">
        <w:rPr>
          <w:rFonts w:ascii="Times New Roman" w:hAnsi="Times New Roman" w:cs="Times New Roman"/>
          <w:sz w:val="24"/>
          <w:szCs w:val="24"/>
        </w:rPr>
        <w:t xml:space="preserve">da Constituição Estadual), </w:t>
      </w:r>
      <w:r w:rsidR="0036343F" w:rsidRPr="0036343F">
        <w:rPr>
          <w:rFonts w:ascii="Times New Roman" w:hAnsi="Times New Roman" w:cs="Times New Roman"/>
          <w:sz w:val="24"/>
          <w:szCs w:val="24"/>
        </w:rPr>
        <w:t>conto com o apoio dos nobríssimos parlamentares para aprovação desta proposição.</w:t>
      </w:r>
    </w:p>
    <w:p w:rsidR="006B7DD0" w:rsidRDefault="006B7DD0" w:rsidP="00AF2039">
      <w:pPr>
        <w:pStyle w:val="Normal1"/>
        <w:spacing w:line="360" w:lineRule="auto"/>
        <w:ind w:firstLine="1134"/>
        <w:jc w:val="both"/>
        <w:rPr>
          <w:b/>
          <w:color w:val="000000"/>
          <w:sz w:val="24"/>
          <w:szCs w:val="24"/>
        </w:rPr>
      </w:pPr>
    </w:p>
    <w:p w:rsidR="00043972" w:rsidRDefault="00043972" w:rsidP="00AF2039">
      <w:pPr>
        <w:pStyle w:val="Normal1"/>
        <w:spacing w:line="360" w:lineRule="auto"/>
        <w:ind w:firstLine="1134"/>
        <w:jc w:val="both"/>
        <w:rPr>
          <w:b/>
          <w:color w:val="000000"/>
          <w:sz w:val="24"/>
          <w:szCs w:val="24"/>
        </w:rPr>
      </w:pPr>
    </w:p>
    <w:p w:rsidR="00043972" w:rsidRPr="00621D16" w:rsidRDefault="00043972" w:rsidP="00AF2039">
      <w:pPr>
        <w:pStyle w:val="Normal1"/>
        <w:spacing w:line="360" w:lineRule="auto"/>
        <w:ind w:firstLine="1134"/>
        <w:jc w:val="both"/>
        <w:rPr>
          <w:b/>
          <w:color w:val="000000"/>
          <w:sz w:val="24"/>
          <w:szCs w:val="24"/>
        </w:rPr>
      </w:pPr>
    </w:p>
    <w:p w:rsidR="00043972" w:rsidRPr="00043972" w:rsidRDefault="00043972" w:rsidP="00043972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043972" w:rsidRDefault="00043972" w:rsidP="00043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C8591A" w:rsidRPr="00C8591A" w:rsidRDefault="00C8591A" w:rsidP="009A35BB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591A" w:rsidRPr="00C8591A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0D" w:rsidRDefault="00653B0D" w:rsidP="00E660E2">
      <w:pPr>
        <w:spacing w:after="0" w:line="240" w:lineRule="auto"/>
      </w:pPr>
      <w:r>
        <w:separator/>
      </w:r>
    </w:p>
  </w:endnote>
  <w:endnote w:type="continuationSeparator" w:id="0">
    <w:p w:rsidR="00653B0D" w:rsidRDefault="00653B0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0D" w:rsidRDefault="00653B0D" w:rsidP="00E660E2">
      <w:pPr>
        <w:spacing w:after="0" w:line="240" w:lineRule="auto"/>
      </w:pPr>
      <w:r>
        <w:separator/>
      </w:r>
    </w:p>
  </w:footnote>
  <w:footnote w:type="continuationSeparator" w:id="0">
    <w:p w:rsidR="00653B0D" w:rsidRDefault="00653B0D" w:rsidP="00E660E2">
      <w:pPr>
        <w:spacing w:after="0" w:line="240" w:lineRule="auto"/>
      </w:pPr>
      <w:r>
        <w:continuationSeparator/>
      </w:r>
    </w:p>
  </w:footnote>
  <w:footnote w:id="1">
    <w:p w:rsidR="00AF2039" w:rsidRPr="009E700B" w:rsidRDefault="00AF2039" w:rsidP="00AF2039">
      <w:pPr>
        <w:pStyle w:val="Textodenotaderodap"/>
        <w:jc w:val="both"/>
        <w:rPr>
          <w:rFonts w:ascii="Times New Roman" w:hAnsi="Times New Roman" w:cs="Times New Roman"/>
        </w:rPr>
      </w:pPr>
      <w:r w:rsidRPr="009E700B">
        <w:rPr>
          <w:rStyle w:val="Refdenotaderodap"/>
          <w:rFonts w:ascii="Times New Roman" w:hAnsi="Times New Roman" w:cs="Times New Roman"/>
        </w:rPr>
        <w:footnoteRef/>
      </w:r>
      <w:r w:rsidRPr="009E700B">
        <w:rPr>
          <w:rFonts w:ascii="Times New Roman" w:hAnsi="Times New Roman" w:cs="Times New Roman"/>
        </w:rPr>
        <w:t xml:space="preserve"> CAVALCANTE FILHO, João Trindade. </w:t>
      </w:r>
      <w:r w:rsidRPr="009E700B">
        <w:rPr>
          <w:rFonts w:ascii="Times New Roman" w:hAnsi="Times New Roman" w:cs="Times New Roman"/>
          <w:b/>
        </w:rPr>
        <w:t xml:space="preserve">Limites da Iniciativa Parlamentar sobre Políticas Públicas: uma proposta de releitura do art. 61, § 1º, II, </w:t>
      </w:r>
      <w:r w:rsidRPr="009E700B">
        <w:rPr>
          <w:rFonts w:ascii="Times New Roman" w:hAnsi="Times New Roman" w:cs="Times New Roman"/>
          <w:b/>
          <w:i/>
        </w:rPr>
        <w:t>e</w:t>
      </w:r>
      <w:r w:rsidRPr="009E700B">
        <w:rPr>
          <w:rFonts w:ascii="Times New Roman" w:hAnsi="Times New Roman" w:cs="Times New Roman"/>
          <w:b/>
        </w:rPr>
        <w:t>, da Constituição Federal</w:t>
      </w:r>
      <w:r w:rsidRPr="009E700B">
        <w:rPr>
          <w:rFonts w:ascii="Times New Roman" w:hAnsi="Times New Roman" w:cs="Times New Roman"/>
        </w:rPr>
        <w:t>. Senado Federal, Brasília, 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F1" w:rsidRDefault="007679F1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575BDB92" wp14:editId="7A03478D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A1B36" w:rsidRDefault="007679F1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7679F1" w:rsidRPr="00A20743" w:rsidRDefault="007679F1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7679F1" w:rsidRDefault="007679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84"/>
    <w:rsid w:val="000013D2"/>
    <w:rsid w:val="000057BA"/>
    <w:rsid w:val="00007945"/>
    <w:rsid w:val="00007D55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83E1D"/>
    <w:rsid w:val="00184FAE"/>
    <w:rsid w:val="001869EC"/>
    <w:rsid w:val="001A048B"/>
    <w:rsid w:val="001B33EA"/>
    <w:rsid w:val="001C1C6C"/>
    <w:rsid w:val="001D3AFE"/>
    <w:rsid w:val="001D5290"/>
    <w:rsid w:val="001F324A"/>
    <w:rsid w:val="001F46BC"/>
    <w:rsid w:val="00200CC3"/>
    <w:rsid w:val="00204D9F"/>
    <w:rsid w:val="00210079"/>
    <w:rsid w:val="0022581F"/>
    <w:rsid w:val="00230924"/>
    <w:rsid w:val="002631BC"/>
    <w:rsid w:val="00264292"/>
    <w:rsid w:val="00275C3F"/>
    <w:rsid w:val="00285701"/>
    <w:rsid w:val="00292FA3"/>
    <w:rsid w:val="00294384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87F25"/>
    <w:rsid w:val="003A2D8A"/>
    <w:rsid w:val="003E71A2"/>
    <w:rsid w:val="003F0249"/>
    <w:rsid w:val="0042282F"/>
    <w:rsid w:val="004263B0"/>
    <w:rsid w:val="00433762"/>
    <w:rsid w:val="00437BEE"/>
    <w:rsid w:val="00440FA9"/>
    <w:rsid w:val="0046545C"/>
    <w:rsid w:val="0049769B"/>
    <w:rsid w:val="00497E00"/>
    <w:rsid w:val="004B4968"/>
    <w:rsid w:val="004C0305"/>
    <w:rsid w:val="00532B54"/>
    <w:rsid w:val="00542415"/>
    <w:rsid w:val="005446EB"/>
    <w:rsid w:val="00546213"/>
    <w:rsid w:val="0055470D"/>
    <w:rsid w:val="00560387"/>
    <w:rsid w:val="00576B56"/>
    <w:rsid w:val="00577B60"/>
    <w:rsid w:val="00591214"/>
    <w:rsid w:val="005B148B"/>
    <w:rsid w:val="005B1BD3"/>
    <w:rsid w:val="005C43E3"/>
    <w:rsid w:val="005D0515"/>
    <w:rsid w:val="005D076D"/>
    <w:rsid w:val="005E6BC3"/>
    <w:rsid w:val="005F14DF"/>
    <w:rsid w:val="00604469"/>
    <w:rsid w:val="006314B9"/>
    <w:rsid w:val="00653B0D"/>
    <w:rsid w:val="006875E4"/>
    <w:rsid w:val="00696FFA"/>
    <w:rsid w:val="006B524B"/>
    <w:rsid w:val="006B7DD0"/>
    <w:rsid w:val="006C2820"/>
    <w:rsid w:val="00713F20"/>
    <w:rsid w:val="00727F0C"/>
    <w:rsid w:val="0073482B"/>
    <w:rsid w:val="00754ABD"/>
    <w:rsid w:val="00762510"/>
    <w:rsid w:val="007679F1"/>
    <w:rsid w:val="00772D82"/>
    <w:rsid w:val="00790152"/>
    <w:rsid w:val="00791DE6"/>
    <w:rsid w:val="007A44F6"/>
    <w:rsid w:val="007B6DAB"/>
    <w:rsid w:val="007D07FC"/>
    <w:rsid w:val="007D201D"/>
    <w:rsid w:val="007D5954"/>
    <w:rsid w:val="00801F45"/>
    <w:rsid w:val="00811047"/>
    <w:rsid w:val="0081388B"/>
    <w:rsid w:val="00814411"/>
    <w:rsid w:val="00830FCD"/>
    <w:rsid w:val="0084397C"/>
    <w:rsid w:val="00845011"/>
    <w:rsid w:val="008614DA"/>
    <w:rsid w:val="008659D1"/>
    <w:rsid w:val="008806A3"/>
    <w:rsid w:val="00882263"/>
    <w:rsid w:val="008838E2"/>
    <w:rsid w:val="00885EE7"/>
    <w:rsid w:val="0089696E"/>
    <w:rsid w:val="008A0FB5"/>
    <w:rsid w:val="008D193C"/>
    <w:rsid w:val="008D22C8"/>
    <w:rsid w:val="008F1804"/>
    <w:rsid w:val="00905193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C4C89"/>
    <w:rsid w:val="009D3148"/>
    <w:rsid w:val="00A10AE1"/>
    <w:rsid w:val="00A2364E"/>
    <w:rsid w:val="00A37F30"/>
    <w:rsid w:val="00A45E73"/>
    <w:rsid w:val="00A5427F"/>
    <w:rsid w:val="00A66ADC"/>
    <w:rsid w:val="00A674E4"/>
    <w:rsid w:val="00A715BA"/>
    <w:rsid w:val="00A765DF"/>
    <w:rsid w:val="00A85111"/>
    <w:rsid w:val="00A964F0"/>
    <w:rsid w:val="00AA344E"/>
    <w:rsid w:val="00AB6615"/>
    <w:rsid w:val="00AD31C9"/>
    <w:rsid w:val="00AD4A99"/>
    <w:rsid w:val="00AF2039"/>
    <w:rsid w:val="00B17C75"/>
    <w:rsid w:val="00B357F8"/>
    <w:rsid w:val="00B86FDD"/>
    <w:rsid w:val="00BA01A0"/>
    <w:rsid w:val="00BA1B36"/>
    <w:rsid w:val="00BA5722"/>
    <w:rsid w:val="00BB555C"/>
    <w:rsid w:val="00BC4B5E"/>
    <w:rsid w:val="00BE4673"/>
    <w:rsid w:val="00BE705A"/>
    <w:rsid w:val="00BF68E4"/>
    <w:rsid w:val="00C25FC7"/>
    <w:rsid w:val="00C37147"/>
    <w:rsid w:val="00C66DC9"/>
    <w:rsid w:val="00C672FD"/>
    <w:rsid w:val="00C70639"/>
    <w:rsid w:val="00C73D5A"/>
    <w:rsid w:val="00C767D6"/>
    <w:rsid w:val="00C8591A"/>
    <w:rsid w:val="00C91956"/>
    <w:rsid w:val="00D23D3D"/>
    <w:rsid w:val="00D341F7"/>
    <w:rsid w:val="00D5142A"/>
    <w:rsid w:val="00D57E42"/>
    <w:rsid w:val="00D61739"/>
    <w:rsid w:val="00D65AC6"/>
    <w:rsid w:val="00D86439"/>
    <w:rsid w:val="00D954D4"/>
    <w:rsid w:val="00DA3CA3"/>
    <w:rsid w:val="00DA51F1"/>
    <w:rsid w:val="00DA706F"/>
    <w:rsid w:val="00DB383A"/>
    <w:rsid w:val="00DC54FF"/>
    <w:rsid w:val="00DF68A1"/>
    <w:rsid w:val="00E04C17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A394C"/>
    <w:rsid w:val="00EA63FF"/>
    <w:rsid w:val="00ED36CA"/>
    <w:rsid w:val="00F075C2"/>
    <w:rsid w:val="00F1484E"/>
    <w:rsid w:val="00F4243A"/>
    <w:rsid w:val="00F44930"/>
    <w:rsid w:val="00F80C93"/>
    <w:rsid w:val="00F919B5"/>
    <w:rsid w:val="00FA667C"/>
    <w:rsid w:val="00FB1A9F"/>
    <w:rsid w:val="00FB3FAD"/>
    <w:rsid w:val="00FC332B"/>
    <w:rsid w:val="00FE10B9"/>
    <w:rsid w:val="00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C759B-9099-4D9C-B4D2-74ACFC9C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C8A1-44D0-40F1-B6CD-ECF639D2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1749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Priscila</cp:lastModifiedBy>
  <cp:revision>2</cp:revision>
  <cp:lastPrinted>2020-06-08T20:50:00Z</cp:lastPrinted>
  <dcterms:created xsi:type="dcterms:W3CDTF">2021-02-10T01:22:00Z</dcterms:created>
  <dcterms:modified xsi:type="dcterms:W3CDTF">2021-02-10T01:22:00Z</dcterms:modified>
</cp:coreProperties>
</file>