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D0" w:rsidRPr="00C44FDD" w:rsidRDefault="005C1CD0" w:rsidP="00C44FD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2D2" w:rsidRDefault="004332D2" w:rsidP="00F1240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DD">
        <w:rPr>
          <w:rFonts w:ascii="Times New Roman" w:hAnsi="Times New Roman" w:cs="Times New Roman"/>
          <w:b/>
          <w:sz w:val="24"/>
          <w:szCs w:val="24"/>
        </w:rPr>
        <w:t>PROJETO DE LEI Nº               /20</w:t>
      </w:r>
      <w:r w:rsidR="002608F1" w:rsidRPr="00C44FDD">
        <w:rPr>
          <w:rFonts w:ascii="Times New Roman" w:hAnsi="Times New Roman" w:cs="Times New Roman"/>
          <w:b/>
          <w:sz w:val="24"/>
          <w:szCs w:val="24"/>
        </w:rPr>
        <w:t>2</w:t>
      </w:r>
      <w:r w:rsidR="008928CD">
        <w:rPr>
          <w:rFonts w:ascii="Times New Roman" w:hAnsi="Times New Roman" w:cs="Times New Roman"/>
          <w:b/>
          <w:sz w:val="24"/>
          <w:szCs w:val="24"/>
        </w:rPr>
        <w:t>1</w:t>
      </w:r>
    </w:p>
    <w:p w:rsidR="00F12408" w:rsidRDefault="00F12408" w:rsidP="00892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5FA9" w:rsidRPr="00F35FA9" w:rsidRDefault="00F35FA9" w:rsidP="00F35FA9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FA9">
        <w:rPr>
          <w:rFonts w:ascii="Times New Roman" w:hAnsi="Times New Roman" w:cs="Times New Roman"/>
          <w:b/>
          <w:i/>
          <w:sz w:val="24"/>
          <w:szCs w:val="24"/>
        </w:rPr>
        <w:t>Classifica o doente renal crônico como pessoa</w:t>
      </w:r>
    </w:p>
    <w:p w:rsidR="001E080C" w:rsidRDefault="00F35FA9" w:rsidP="00F35FA9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FA9">
        <w:rPr>
          <w:rFonts w:ascii="Times New Roman" w:hAnsi="Times New Roman" w:cs="Times New Roman"/>
          <w:b/>
          <w:i/>
          <w:sz w:val="24"/>
          <w:szCs w:val="24"/>
        </w:rPr>
        <w:t>com deficiência, para fins de fruição de direitos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b/>
          <w:i/>
          <w:sz w:val="24"/>
          <w:szCs w:val="24"/>
        </w:rPr>
        <w:t xml:space="preserve">assegurados na constituição do Estado </w:t>
      </w:r>
      <w:r>
        <w:rPr>
          <w:rFonts w:ascii="Times New Roman" w:hAnsi="Times New Roman" w:cs="Times New Roman"/>
          <w:b/>
          <w:i/>
          <w:sz w:val="24"/>
          <w:szCs w:val="24"/>
        </w:rPr>
        <w:t>do Maranhão</w:t>
      </w:r>
      <w:r w:rsidRPr="00F35FA9">
        <w:rPr>
          <w:rFonts w:ascii="Times New Roman" w:hAnsi="Times New Roman" w:cs="Times New Roman"/>
          <w:b/>
          <w:i/>
          <w:sz w:val="24"/>
          <w:szCs w:val="24"/>
        </w:rPr>
        <w:t xml:space="preserve"> e dá outras providências.</w:t>
      </w:r>
    </w:p>
    <w:p w:rsidR="00F35FA9" w:rsidRDefault="00F35FA9" w:rsidP="00F35FA9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5FA9" w:rsidRDefault="00F35FA9" w:rsidP="00F35FA9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565" w:rsidRDefault="00F80565" w:rsidP="00C44FD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ASSEMBLEIA LEGISLATIVA DO ESTADO DO MARANHÃO DECRETA:</w:t>
      </w:r>
    </w:p>
    <w:p w:rsidR="00F35FA9" w:rsidRPr="00A21DC6" w:rsidRDefault="00A21DC6" w:rsidP="00F35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C6">
        <w:rPr>
          <w:rFonts w:ascii="Times New Roman" w:hAnsi="Times New Roman" w:cs="Times New Roman"/>
          <w:b/>
          <w:sz w:val="24"/>
          <w:szCs w:val="24"/>
        </w:rPr>
        <w:t>Artigo 1</w:t>
      </w:r>
      <w:r w:rsidRPr="00A21DC6">
        <w:rPr>
          <w:rFonts w:ascii="Times New Roman" w:hAnsi="Times New Roman" w:cs="Times New Roman"/>
          <w:sz w:val="24"/>
          <w:szCs w:val="24"/>
        </w:rPr>
        <w:t xml:space="preserve"> </w:t>
      </w:r>
      <w:r w:rsidR="00F35FA9" w:rsidRPr="00F35FA9">
        <w:rPr>
          <w:rFonts w:ascii="Times New Roman" w:hAnsi="Times New Roman" w:cs="Times New Roman"/>
          <w:sz w:val="24"/>
          <w:szCs w:val="24"/>
        </w:rPr>
        <w:t>Fica classificada como pessoa com deficiência física a pessoa com diagnóstico de doença rena</w:t>
      </w:r>
      <w:r w:rsidR="00F35FA9">
        <w:rPr>
          <w:rFonts w:ascii="Times New Roman" w:hAnsi="Times New Roman" w:cs="Times New Roman"/>
          <w:sz w:val="24"/>
          <w:szCs w:val="24"/>
        </w:rPr>
        <w:t xml:space="preserve">l </w:t>
      </w:r>
      <w:r w:rsidR="00F35FA9" w:rsidRPr="00F35FA9">
        <w:rPr>
          <w:rFonts w:ascii="Times New Roman" w:hAnsi="Times New Roman" w:cs="Times New Roman"/>
          <w:sz w:val="24"/>
          <w:szCs w:val="24"/>
        </w:rPr>
        <w:t xml:space="preserve">crônica, para fins de fruição dos direitos assegurados na Constituição do Estado </w:t>
      </w:r>
      <w:r w:rsidR="00F35FA9">
        <w:rPr>
          <w:rFonts w:ascii="Times New Roman" w:hAnsi="Times New Roman" w:cs="Times New Roman"/>
          <w:sz w:val="24"/>
          <w:szCs w:val="24"/>
        </w:rPr>
        <w:t>do Maranhão</w:t>
      </w:r>
      <w:r w:rsidR="00F35FA9" w:rsidRPr="00F35FA9">
        <w:rPr>
          <w:rFonts w:ascii="Times New Roman" w:hAnsi="Times New Roman" w:cs="Times New Roman"/>
          <w:sz w:val="24"/>
          <w:szCs w:val="24"/>
        </w:rPr>
        <w:t xml:space="preserve"> e n</w:t>
      </w:r>
      <w:r w:rsidR="00F35FA9">
        <w:rPr>
          <w:rFonts w:ascii="Times New Roman" w:hAnsi="Times New Roman" w:cs="Times New Roman"/>
          <w:sz w:val="24"/>
          <w:szCs w:val="24"/>
        </w:rPr>
        <w:t xml:space="preserve">a </w:t>
      </w:r>
      <w:r w:rsidR="00F35FA9" w:rsidRPr="00F35FA9">
        <w:rPr>
          <w:rFonts w:ascii="Times New Roman" w:hAnsi="Times New Roman" w:cs="Times New Roman"/>
          <w:sz w:val="24"/>
          <w:szCs w:val="24"/>
        </w:rPr>
        <w:t>legislação infraconstitucional de proteção às pessoas com deficiência.</w:t>
      </w:r>
    </w:p>
    <w:p w:rsidR="00F35FA9" w:rsidRPr="00F35FA9" w:rsidRDefault="00F35FA9" w:rsidP="00F35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F35FA9">
        <w:rPr>
          <w:rFonts w:ascii="Times New Roman" w:hAnsi="Times New Roman" w:cs="Times New Roman"/>
          <w:sz w:val="24"/>
          <w:szCs w:val="24"/>
        </w:rPr>
        <w:t xml:space="preserve"> – São considerados pacientes renais crônicos, para efeito desta lei.</w:t>
      </w:r>
    </w:p>
    <w:p w:rsidR="00F35FA9" w:rsidRPr="00F35FA9" w:rsidRDefault="00F35FA9" w:rsidP="00F35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b/>
          <w:sz w:val="24"/>
          <w:szCs w:val="24"/>
        </w:rPr>
        <w:t>I –</w:t>
      </w:r>
      <w:r w:rsidRPr="00F35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FA9">
        <w:rPr>
          <w:rFonts w:ascii="Times New Roman" w:hAnsi="Times New Roman" w:cs="Times New Roman"/>
          <w:sz w:val="24"/>
          <w:szCs w:val="24"/>
        </w:rPr>
        <w:t>portadores</w:t>
      </w:r>
      <w:proofErr w:type="gramEnd"/>
      <w:r w:rsidRPr="00F35FA9">
        <w:rPr>
          <w:rFonts w:ascii="Times New Roman" w:hAnsi="Times New Roman" w:cs="Times New Roman"/>
          <w:sz w:val="24"/>
          <w:szCs w:val="24"/>
        </w:rPr>
        <w:t xml:space="preserve"> de moléstia renal grave com prescrição médica contínua de diálise e hemodiálise.</w:t>
      </w:r>
    </w:p>
    <w:p w:rsidR="00F35FA9" w:rsidRPr="00F35FA9" w:rsidRDefault="00F35FA9" w:rsidP="00F35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F35FA9">
        <w:rPr>
          <w:rFonts w:ascii="Times New Roman" w:hAnsi="Times New Roman" w:cs="Times New Roman"/>
          <w:sz w:val="24"/>
          <w:szCs w:val="24"/>
        </w:rPr>
        <w:t>– Transplantados renais</w:t>
      </w:r>
    </w:p>
    <w:p w:rsidR="00F35FA9" w:rsidRPr="00F35FA9" w:rsidRDefault="00F35FA9" w:rsidP="00F35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C6">
        <w:rPr>
          <w:rFonts w:ascii="Times New Roman" w:hAnsi="Times New Roman" w:cs="Times New Roman"/>
          <w:b/>
          <w:sz w:val="24"/>
          <w:szCs w:val="24"/>
        </w:rPr>
        <w:t>Artigo</w:t>
      </w:r>
      <w:r w:rsidRPr="00F35FA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35FA9">
        <w:rPr>
          <w:rFonts w:ascii="Times New Roman" w:hAnsi="Times New Roman" w:cs="Times New Roman"/>
          <w:sz w:val="24"/>
          <w:szCs w:val="24"/>
        </w:rPr>
        <w:t xml:space="preserve"> As organizações representativas de pessoas com deficiência renal crônica terão legitimidade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acompanhar o cumprimento desta lei.</w:t>
      </w:r>
    </w:p>
    <w:p w:rsidR="00F35FA9" w:rsidRPr="00F35FA9" w:rsidRDefault="00F35FA9" w:rsidP="00F35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F35FA9">
        <w:rPr>
          <w:rFonts w:ascii="Times New Roman" w:hAnsi="Times New Roman" w:cs="Times New Roman"/>
          <w:sz w:val="24"/>
          <w:szCs w:val="24"/>
        </w:rPr>
        <w:t xml:space="preserve"> – Para fins desta lei, são organizações representativas de pessoas com deficiência renal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crônica as que ofereçam Programa de Saúde, de Assistência Social, de Educação e Pesquisa,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Capacitação, de Colocação Profissional e de Defesa de Direitos.</w:t>
      </w:r>
    </w:p>
    <w:p w:rsidR="00F35FA9" w:rsidRPr="00F35FA9" w:rsidRDefault="00F35FA9" w:rsidP="00F35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b/>
          <w:sz w:val="24"/>
          <w:szCs w:val="24"/>
        </w:rPr>
        <w:t>Artigo 3</w:t>
      </w:r>
      <w:r w:rsidRPr="00F35FA9">
        <w:rPr>
          <w:rFonts w:ascii="Times New Roman" w:hAnsi="Times New Roman" w:cs="Times New Roman"/>
          <w:sz w:val="24"/>
          <w:szCs w:val="24"/>
        </w:rPr>
        <w:t xml:space="preserve"> O Poder Executivo regulamentará a presente lei.</w:t>
      </w:r>
    </w:p>
    <w:p w:rsidR="001E080C" w:rsidRPr="00F35FA9" w:rsidRDefault="00F35FA9" w:rsidP="00F35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C6">
        <w:rPr>
          <w:rFonts w:ascii="Times New Roman" w:hAnsi="Times New Roman" w:cs="Times New Roman"/>
          <w:b/>
          <w:sz w:val="24"/>
          <w:szCs w:val="24"/>
        </w:rPr>
        <w:t>Artigo</w:t>
      </w:r>
      <w:r w:rsidRPr="00F35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FA9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Esta</w:t>
      </w:r>
      <w:proofErr w:type="gramEnd"/>
      <w:r w:rsidRPr="00F35FA9">
        <w:rPr>
          <w:rFonts w:ascii="Times New Roman" w:hAnsi="Times New Roman" w:cs="Times New Roman"/>
          <w:sz w:val="24"/>
          <w:szCs w:val="24"/>
        </w:rPr>
        <w:t xml:space="preserve"> lei entra em vigor na data de sua publicação.</w:t>
      </w:r>
    </w:p>
    <w:p w:rsidR="00A21DC6" w:rsidRDefault="00A21DC6" w:rsidP="00CC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C6" w:rsidRDefault="00A21DC6" w:rsidP="00CC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C6" w:rsidRDefault="00A21DC6" w:rsidP="00CC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EA" w:rsidRDefault="00AD31EA" w:rsidP="00CC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C6" w:rsidRPr="00C44FDD" w:rsidRDefault="00A21DC6" w:rsidP="00A21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D66" w:rsidRPr="00C44FDD" w:rsidRDefault="00CB4D66" w:rsidP="00A21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DD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F12408" w:rsidRDefault="00CB4D66" w:rsidP="00A21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4FDD">
        <w:rPr>
          <w:rFonts w:ascii="Times New Roman" w:hAnsi="Times New Roman" w:cs="Times New Roman"/>
          <w:sz w:val="24"/>
          <w:szCs w:val="24"/>
        </w:rPr>
        <w:t>Deputado Estadual</w:t>
      </w:r>
    </w:p>
    <w:p w:rsidR="001E080C" w:rsidRDefault="001E080C" w:rsidP="00003971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080C" w:rsidRDefault="001E080C" w:rsidP="00003971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1DC6" w:rsidRDefault="00A21DC6" w:rsidP="00892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31EA" w:rsidRDefault="00AD31EA" w:rsidP="008928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1CD0" w:rsidRDefault="00E11224" w:rsidP="00C44F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DD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F35FA9" w:rsidRPr="00F35FA9" w:rsidRDefault="00F35FA9" w:rsidP="00F35FA9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sz w:val="24"/>
          <w:szCs w:val="24"/>
        </w:rPr>
        <w:t>O presente projeto de lei tem como objetivo incluir os pacientes renais crônicos e transplantados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classificação de pessoas com deficiência (PCD), em consonância com a Lei Brasileira de Inclusão da Pessoa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com Deficiência (Estatuto da Pessoa com Deficiência). (LEI 13.146/2015).</w:t>
      </w:r>
    </w:p>
    <w:p w:rsidR="002C1C9B" w:rsidRPr="002C1C9B" w:rsidRDefault="00F35FA9" w:rsidP="002C1C9B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sz w:val="24"/>
          <w:szCs w:val="24"/>
        </w:rPr>
        <w:t>As doenças renais são definidas como aquelas que apresentam lesão progressiva irreversível da função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rins em sua fase mais avançada.</w:t>
      </w:r>
      <w:r w:rsidR="002C1C9B">
        <w:rPr>
          <w:rFonts w:ascii="Times New Roman" w:hAnsi="Times New Roman" w:cs="Times New Roman"/>
          <w:sz w:val="24"/>
          <w:szCs w:val="24"/>
        </w:rPr>
        <w:t xml:space="preserve"> </w:t>
      </w:r>
      <w:r w:rsidR="002C1C9B" w:rsidRPr="002C1C9B">
        <w:rPr>
          <w:rFonts w:ascii="Times New Roman" w:hAnsi="Times New Roman" w:cs="Times New Roman"/>
          <w:sz w:val="24"/>
          <w:szCs w:val="24"/>
        </w:rPr>
        <w:t>A DRC consiste em lesão renal e perda progressiva e irreversível da função dos rins (glomerular, tubular e endócrina). Em sua fase mais avançada (chamada de fase terminal de insuficiência renal crônica-IRC), os rins não conseguem mais manter a normalidade do meio interno do paciente.</w:t>
      </w:r>
    </w:p>
    <w:p w:rsidR="002C1C9B" w:rsidRPr="002C1C9B" w:rsidRDefault="002C1C9B" w:rsidP="002C1C9B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1C9B">
        <w:rPr>
          <w:rFonts w:ascii="Times New Roman" w:hAnsi="Times New Roman" w:cs="Times New Roman"/>
          <w:sz w:val="24"/>
          <w:szCs w:val="24"/>
        </w:rPr>
        <w:t>Estima-se que no Brasil 10 milhões de indivíduos tenham algum grau de DRC. A prevalência é de 50/100.000 habitantes, inferior ao que é visto nos Estados Unidos (110/100.000) e no Japão (205/100.000), o que sugere que seja uma doença sub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9B">
        <w:rPr>
          <w:rFonts w:ascii="Times New Roman" w:hAnsi="Times New Roman" w:cs="Times New Roman"/>
          <w:sz w:val="24"/>
          <w:szCs w:val="24"/>
        </w:rPr>
        <w:t>diagnosticada. De acordo com o último Censo da Sociedade Brasileira de Nefrologia, existem mais de 110 mil brasileiros em diálise, sendo 90% em hemodiálise, com um custo anual de dois bilhões de reais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2C1C9B">
        <w:rPr>
          <w:rFonts w:ascii="Times New Roman" w:hAnsi="Times New Roman" w:cs="Times New Roman"/>
          <w:sz w:val="24"/>
          <w:szCs w:val="24"/>
        </w:rPr>
        <w:t>UNA-SUS/UFMA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35FA9" w:rsidRPr="00F35FA9" w:rsidRDefault="002C1C9B" w:rsidP="002C1C9B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1C9B">
        <w:rPr>
          <w:rFonts w:ascii="Times New Roman" w:hAnsi="Times New Roman" w:cs="Times New Roman"/>
          <w:sz w:val="24"/>
          <w:szCs w:val="24"/>
        </w:rPr>
        <w:t>Na última década, houve um aumento de mais de 100% no número de pacientes em diálise. Como causa de DRC, o censo apontou 35,2% para hipertensão, 27,5% para diabetes, 12,6% para glomerulonefrites, 4,2% para doença renal policística e 20,5% para outros diagnósticos. A mortalidade dos pacientes em diálise é de 17%, sendo observado aumento progressivo nos últimos anos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1C9B">
        <w:rPr>
          <w:rFonts w:ascii="Times New Roman" w:hAnsi="Times New Roman" w:cs="Times New Roman"/>
          <w:sz w:val="24"/>
          <w:szCs w:val="24"/>
        </w:rPr>
        <w:t>UNA-SUS/UFMA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C1C9B" w:rsidRDefault="00F35FA9" w:rsidP="00F35FA9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F35FA9">
        <w:rPr>
          <w:rFonts w:ascii="Times New Roman" w:hAnsi="Times New Roman" w:cs="Times New Roman"/>
          <w:sz w:val="24"/>
          <w:szCs w:val="24"/>
        </w:rPr>
        <w:t>Nefropata</w:t>
      </w:r>
      <w:proofErr w:type="spellEnd"/>
      <w:r w:rsidRPr="00F35FA9">
        <w:rPr>
          <w:rFonts w:ascii="Times New Roman" w:hAnsi="Times New Roman" w:cs="Times New Roman"/>
          <w:sz w:val="24"/>
          <w:szCs w:val="24"/>
        </w:rPr>
        <w:t xml:space="preserve"> crônico, a partir da paralisia total dos rins nativos em hemodiálise e diálise </w:t>
      </w:r>
      <w:proofErr w:type="spellStart"/>
      <w:r w:rsidRPr="00F35FA9">
        <w:rPr>
          <w:rFonts w:ascii="Times New Roman" w:hAnsi="Times New Roman" w:cs="Times New Roman"/>
          <w:sz w:val="24"/>
          <w:szCs w:val="24"/>
        </w:rPr>
        <w:t>peritonea</w:t>
      </w:r>
      <w:proofErr w:type="spellEnd"/>
      <w:r w:rsidRPr="00F35FA9">
        <w:rPr>
          <w:rFonts w:ascii="Times New Roman" w:hAnsi="Times New Roman" w:cs="Times New Roman"/>
          <w:sz w:val="24"/>
          <w:szCs w:val="24"/>
        </w:rPr>
        <w:t>, e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 xml:space="preserve">transplantados renais não possuem uma vida normal. </w:t>
      </w:r>
    </w:p>
    <w:p w:rsidR="00F35FA9" w:rsidRPr="00F35FA9" w:rsidRDefault="00F35FA9" w:rsidP="00F35FA9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5FA9">
        <w:rPr>
          <w:rFonts w:ascii="Times New Roman" w:hAnsi="Times New Roman" w:cs="Times New Roman"/>
          <w:sz w:val="24"/>
          <w:szCs w:val="24"/>
        </w:rPr>
        <w:t>Devido à baixa imunidade correm o risco de serem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acometidos por graves infecções; possuem baixa mobilidade no braço decorrente da fístula arteriovenosa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(junção de uma artéria com uma veia), gerando monoparesia no respectivo membro sofrem também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comprometimento de sua funcionalidade como uma pessoa com deficiência.</w:t>
      </w:r>
    </w:p>
    <w:p w:rsidR="00F35FA9" w:rsidRPr="00F35FA9" w:rsidRDefault="00F35FA9" w:rsidP="00F35FA9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sz w:val="24"/>
          <w:szCs w:val="24"/>
        </w:rPr>
        <w:t>O transplante é o procedimento mais adequado para uma melhor qualidade de vida do paciente. Porém, traz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 xml:space="preserve">algumas dificuldades físicas e sociais tais como reações adversas </w:t>
      </w:r>
      <w:r w:rsidRPr="00F35FA9">
        <w:rPr>
          <w:rFonts w:ascii="Times New Roman" w:hAnsi="Times New Roman" w:cs="Times New Roman"/>
          <w:sz w:val="24"/>
          <w:szCs w:val="24"/>
        </w:rPr>
        <w:lastRenderedPageBreak/>
        <w:t>devido ao uso de imunossupressores,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bem como a exclusão de processos seletivos que exigem exames médicos devido a alteração nos exames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laboratoriais.</w:t>
      </w:r>
    </w:p>
    <w:p w:rsidR="00AD31EA" w:rsidRDefault="00F35FA9" w:rsidP="00F35FA9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5FA9">
        <w:rPr>
          <w:rFonts w:ascii="Times New Roman" w:hAnsi="Times New Roman" w:cs="Times New Roman"/>
          <w:sz w:val="24"/>
          <w:szCs w:val="24"/>
        </w:rPr>
        <w:t>O paciente em tratamento dialítico submete-se a situações especiais. O tratamento compromete não apenas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a qualidade de vida, mas também a capacidade de autossubsistência. É praticamente inviável a manutenção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de uma atividade remunerada por um paciente que necessita afastar-se do trabalho por várias horas, três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FA9">
        <w:rPr>
          <w:rFonts w:ascii="Times New Roman" w:hAnsi="Times New Roman" w:cs="Times New Roman"/>
          <w:sz w:val="24"/>
          <w:szCs w:val="24"/>
        </w:rPr>
        <w:t>quatro dias por semana para submeter-se a um tratamento.</w:t>
      </w:r>
    </w:p>
    <w:p w:rsidR="00AD31EA" w:rsidRPr="00AD31EA" w:rsidRDefault="00AD31EA" w:rsidP="00AD31EA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928CD" w:rsidRPr="00C44FDD" w:rsidRDefault="008928CD" w:rsidP="008928C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E7" w:rsidRPr="00C44FDD" w:rsidRDefault="003541E7" w:rsidP="008928C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DD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406235" w:rsidRPr="00C44FDD" w:rsidRDefault="003541E7" w:rsidP="008928C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4FDD">
        <w:rPr>
          <w:rFonts w:ascii="Times New Roman" w:hAnsi="Times New Roman" w:cs="Times New Roman"/>
          <w:sz w:val="24"/>
          <w:szCs w:val="24"/>
        </w:rPr>
        <w:t>Deputado Estadual</w:t>
      </w:r>
    </w:p>
    <w:sectPr w:rsidR="00406235" w:rsidRPr="00C44FDD" w:rsidSect="00C44FDD">
      <w:headerReference w:type="default" r:id="rId6"/>
      <w:footerReference w:type="default" r:id="rId7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5E5" w:rsidRDefault="00D805E5">
      <w:pPr>
        <w:spacing w:after="0" w:line="240" w:lineRule="auto"/>
      </w:pPr>
      <w:r>
        <w:separator/>
      </w:r>
    </w:p>
  </w:endnote>
  <w:endnote w:type="continuationSeparator" w:id="0">
    <w:p w:rsidR="00D805E5" w:rsidRDefault="00D8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3384115"/>
      <w:docPartObj>
        <w:docPartGallery w:val="Page Numbers (Bottom of Page)"/>
        <w:docPartUnique/>
      </w:docPartObj>
    </w:sdtPr>
    <w:sdtEndPr/>
    <w:sdtContent>
      <w:p w:rsidR="00B03F41" w:rsidRDefault="004332D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06">
          <w:rPr>
            <w:noProof/>
          </w:rPr>
          <w:t>3</w:t>
        </w:r>
        <w:r>
          <w:fldChar w:fldCharType="end"/>
        </w:r>
      </w:p>
    </w:sdtContent>
  </w:sdt>
  <w:p w:rsidR="00A06E2F" w:rsidRDefault="00D805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5E5" w:rsidRDefault="00D805E5">
      <w:pPr>
        <w:spacing w:after="0" w:line="240" w:lineRule="auto"/>
      </w:pPr>
      <w:r>
        <w:separator/>
      </w:r>
    </w:p>
  </w:footnote>
  <w:footnote w:type="continuationSeparator" w:id="0">
    <w:p w:rsidR="00D805E5" w:rsidRDefault="00D8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4C0" w:rsidRPr="00C26090" w:rsidRDefault="004332D2" w:rsidP="003204C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660CB91" wp14:editId="3A6E3A0A">
          <wp:extent cx="581660" cy="653415"/>
          <wp:effectExtent l="0" t="0" r="889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C26090">
      <w:rPr>
        <w:rFonts w:ascii="Times New Roman" w:hAnsi="Times New Roman" w:cs="Times New Roman"/>
        <w:b/>
      </w:rPr>
      <w:t>ASSEMBLEIA LEGISLATIVA DO ESTADO DO MARANHÃO</w:t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C26090">
      <w:rPr>
        <w:rFonts w:ascii="Times New Roman" w:hAnsi="Times New Roman" w:cs="Times New Roman"/>
        <w:b/>
      </w:rPr>
      <w:t>Gabinete do Deputado Wellington do Curso</w:t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C26090">
      <w:rPr>
        <w:rFonts w:ascii="Times New Roman" w:hAnsi="Times New Roman" w:cs="Times New Roman"/>
      </w:rPr>
      <w:t>Avenida Jerônimo, s/n, Sítio Rangedor –Cohafuma</w:t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C26090">
      <w:rPr>
        <w:rFonts w:ascii="Times New Roman" w:hAnsi="Times New Roman" w:cs="Times New Roman"/>
      </w:rPr>
      <w:t>São Luís - MA – 65.071-750 - Tel. 3269 3240/3429 – dep.wellingtondocurso@al.ma.leg.br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D2"/>
    <w:rsid w:val="00003971"/>
    <w:rsid w:val="00023A0E"/>
    <w:rsid w:val="0004651B"/>
    <w:rsid w:val="000A14A0"/>
    <w:rsid w:val="000A527C"/>
    <w:rsid w:val="000A55FF"/>
    <w:rsid w:val="00130BB9"/>
    <w:rsid w:val="001615F9"/>
    <w:rsid w:val="001A33F6"/>
    <w:rsid w:val="001D2CA5"/>
    <w:rsid w:val="001E080C"/>
    <w:rsid w:val="001F1206"/>
    <w:rsid w:val="00203654"/>
    <w:rsid w:val="002342A0"/>
    <w:rsid w:val="00245ACD"/>
    <w:rsid w:val="00256050"/>
    <w:rsid w:val="002608F1"/>
    <w:rsid w:val="002905F5"/>
    <w:rsid w:val="002C1C9B"/>
    <w:rsid w:val="002C76BA"/>
    <w:rsid w:val="002D3D7F"/>
    <w:rsid w:val="00307C92"/>
    <w:rsid w:val="003107DC"/>
    <w:rsid w:val="003541E7"/>
    <w:rsid w:val="00356E57"/>
    <w:rsid w:val="003B4FB4"/>
    <w:rsid w:val="003F16A7"/>
    <w:rsid w:val="00406235"/>
    <w:rsid w:val="004176E8"/>
    <w:rsid w:val="004332D2"/>
    <w:rsid w:val="00451027"/>
    <w:rsid w:val="0045450C"/>
    <w:rsid w:val="004920CC"/>
    <w:rsid w:val="00497A1B"/>
    <w:rsid w:val="004B358B"/>
    <w:rsid w:val="004F3B48"/>
    <w:rsid w:val="00570BD8"/>
    <w:rsid w:val="00573F3B"/>
    <w:rsid w:val="00587185"/>
    <w:rsid w:val="0059319F"/>
    <w:rsid w:val="005C17CE"/>
    <w:rsid w:val="005C1CD0"/>
    <w:rsid w:val="005D1EA3"/>
    <w:rsid w:val="0063041B"/>
    <w:rsid w:val="006D1E54"/>
    <w:rsid w:val="00704F7B"/>
    <w:rsid w:val="00714AE0"/>
    <w:rsid w:val="00717885"/>
    <w:rsid w:val="00730344"/>
    <w:rsid w:val="0077508F"/>
    <w:rsid w:val="0078442F"/>
    <w:rsid w:val="00784A16"/>
    <w:rsid w:val="007F7F58"/>
    <w:rsid w:val="00803655"/>
    <w:rsid w:val="008466AF"/>
    <w:rsid w:val="00882D60"/>
    <w:rsid w:val="008928CD"/>
    <w:rsid w:val="008C1B4B"/>
    <w:rsid w:val="008E5567"/>
    <w:rsid w:val="00940427"/>
    <w:rsid w:val="00961814"/>
    <w:rsid w:val="009C7F04"/>
    <w:rsid w:val="009E638A"/>
    <w:rsid w:val="00A21DC6"/>
    <w:rsid w:val="00A26260"/>
    <w:rsid w:val="00A62F36"/>
    <w:rsid w:val="00A630A9"/>
    <w:rsid w:val="00AA6980"/>
    <w:rsid w:val="00AC069F"/>
    <w:rsid w:val="00AD31EA"/>
    <w:rsid w:val="00B179D5"/>
    <w:rsid w:val="00B4214A"/>
    <w:rsid w:val="00B62997"/>
    <w:rsid w:val="00BA4903"/>
    <w:rsid w:val="00BB693F"/>
    <w:rsid w:val="00C01554"/>
    <w:rsid w:val="00C26090"/>
    <w:rsid w:val="00C371AB"/>
    <w:rsid w:val="00C44FDD"/>
    <w:rsid w:val="00CB37C6"/>
    <w:rsid w:val="00CB4D66"/>
    <w:rsid w:val="00CC1D49"/>
    <w:rsid w:val="00CC553E"/>
    <w:rsid w:val="00D1439C"/>
    <w:rsid w:val="00D3435A"/>
    <w:rsid w:val="00D3498C"/>
    <w:rsid w:val="00D45B6D"/>
    <w:rsid w:val="00D50B0A"/>
    <w:rsid w:val="00D805E5"/>
    <w:rsid w:val="00DA5168"/>
    <w:rsid w:val="00DC4E5E"/>
    <w:rsid w:val="00E11224"/>
    <w:rsid w:val="00E36187"/>
    <w:rsid w:val="00E875E1"/>
    <w:rsid w:val="00E92B6F"/>
    <w:rsid w:val="00EC13C9"/>
    <w:rsid w:val="00F12408"/>
    <w:rsid w:val="00F35FA9"/>
    <w:rsid w:val="00F61D9F"/>
    <w:rsid w:val="00F652A8"/>
    <w:rsid w:val="00F72059"/>
    <w:rsid w:val="00F80565"/>
    <w:rsid w:val="00F83374"/>
    <w:rsid w:val="00F94B9E"/>
    <w:rsid w:val="00FE2804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EC05"/>
  <w15:docId w15:val="{E560189F-7E51-4E30-92A5-C0AAC1D5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2D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4332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4332D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32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332D2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8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03655"/>
  </w:style>
  <w:style w:type="character" w:styleId="Hyperlink">
    <w:name w:val="Hyperlink"/>
    <w:basedOn w:val="Fontepargpadro"/>
    <w:uiPriority w:val="99"/>
    <w:semiHidden/>
    <w:unhideWhenUsed/>
    <w:rsid w:val="008036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613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1625955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88344324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753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4</cp:revision>
  <cp:lastPrinted>2019-10-14T17:50:00Z</cp:lastPrinted>
  <dcterms:created xsi:type="dcterms:W3CDTF">2021-02-09T11:46:00Z</dcterms:created>
  <dcterms:modified xsi:type="dcterms:W3CDTF">2021-02-09T12:09:00Z</dcterms:modified>
</cp:coreProperties>
</file>