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D13618" w:rsidRPr="00D13618" w:rsidRDefault="00B733FB" w:rsidP="001F3C66">
      <w:pPr>
        <w:pStyle w:val="Ementa"/>
        <w:tabs>
          <w:tab w:val="left" w:pos="1418"/>
        </w:tabs>
        <w:spacing w:before="440" w:after="360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INDICA QUE OS ESTABELECIMENTOS COMERCIAIS QUE VENDEM FACAS, ESTILETES, CANIVETES OU SIMILARES DEVEM DISPOR ESSES PRODUTOS EM COMPARTIMENTOS PROTEGIDOS POR VIDRO OU ACRÍLICO PARA VENDA AO CONSUMIDOR. </w:t>
      </w:r>
    </w:p>
    <w:p w:rsidR="00E16F8E" w:rsidRDefault="00E16F8E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</w:p>
    <w:p w:rsidR="00D13618" w:rsidRDefault="00D13618" w:rsidP="001F3C66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>A ASSEMBLEIA LEGISLATIVA DO ESTADO D</w:t>
      </w:r>
      <w:r>
        <w:rPr>
          <w:rFonts w:ascii="Times New Roman" w:hAnsi="Times New Roman"/>
          <w:szCs w:val="24"/>
        </w:rPr>
        <w:t xml:space="preserve">O MARANHÃO </w:t>
      </w:r>
      <w:r w:rsidRPr="00D13618">
        <w:rPr>
          <w:rFonts w:ascii="Times New Roman" w:hAnsi="Times New Roman"/>
          <w:szCs w:val="24"/>
        </w:rPr>
        <w:t>DECRETA:</w:t>
      </w:r>
    </w:p>
    <w:p w:rsidR="007978DF" w:rsidRPr="007978DF" w:rsidRDefault="00B733FB" w:rsidP="007978DF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Fica instaurado</w:t>
      </w:r>
      <w:r w:rsidR="00816DC1">
        <w:rPr>
          <w:rFonts w:ascii="Times New Roman" w:hAnsi="Times New Roman"/>
        </w:rPr>
        <w:t>, no âmbito do Estado do Maranhão,</w:t>
      </w:r>
      <w:r>
        <w:rPr>
          <w:rFonts w:ascii="Times New Roman" w:hAnsi="Times New Roman"/>
        </w:rPr>
        <w:t xml:space="preserve"> que os</w:t>
      </w:r>
      <w:r w:rsidR="002F20D2">
        <w:rPr>
          <w:rFonts w:ascii="Times New Roman" w:hAnsi="Times New Roman"/>
        </w:rPr>
        <w:t xml:space="preserve"> estabelecimentos que comercializam facas, estiletes, canivetes ou similares disponham esses produtos ao consumidor em compartimentos específicos protegidos por vidro ou acrílico</w:t>
      </w:r>
      <w:r w:rsidR="00A76D84">
        <w:rPr>
          <w:rFonts w:ascii="Times New Roman" w:hAnsi="Times New Roman"/>
        </w:rPr>
        <w:t>.</w:t>
      </w:r>
    </w:p>
    <w:p w:rsidR="00A76D84" w:rsidRDefault="00A76D84" w:rsidP="00A76D84">
      <w:pPr>
        <w:pStyle w:val="Corpo"/>
        <w:tabs>
          <w:tab w:val="left" w:pos="1418"/>
        </w:tabs>
        <w:ind w:firstLine="1418"/>
        <w:rPr>
          <w:rFonts w:ascii="Times New Roman" w:hAnsi="Times New Roman"/>
          <w:szCs w:val="24"/>
        </w:rPr>
      </w:pPr>
      <w:r w:rsidRPr="00A76D84">
        <w:rPr>
          <w:rFonts w:ascii="Times New Roman" w:hAnsi="Times New Roman"/>
          <w:b/>
        </w:rPr>
        <w:t>Parágrafo Único</w:t>
      </w:r>
      <w:r>
        <w:rPr>
          <w:rFonts w:ascii="Times New Roman" w:hAnsi="Times New Roman"/>
        </w:rPr>
        <w:t xml:space="preserve"> – Para fins desta lei, </w:t>
      </w:r>
      <w:r w:rsidR="002F20D2">
        <w:rPr>
          <w:rFonts w:ascii="Times New Roman" w:hAnsi="Times New Roman"/>
        </w:rPr>
        <w:t>ficará a cargo do estabelecimento acondicionar os produtos em compartimentos protegidos trancados por cadeados ou fechaduras</w:t>
      </w:r>
      <w:r>
        <w:rPr>
          <w:rFonts w:ascii="Times New Roman" w:hAnsi="Times New Roman"/>
        </w:rPr>
        <w:t>.</w:t>
      </w:r>
    </w:p>
    <w:p w:rsidR="00A76D84" w:rsidRDefault="002F20D2" w:rsidP="00826F68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Ficam isentos da regra de disposição em compartimento protegido aqueles produtos que já vierem devidamente embalados e protegidos pelos fabricantes.</w:t>
      </w:r>
    </w:p>
    <w:p w:rsidR="00D73DE4" w:rsidRPr="00826F68" w:rsidRDefault="001C7559" w:rsidP="00826F68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</w:t>
      </w:r>
      <w:r w:rsidR="00D73DE4">
        <w:rPr>
          <w:rFonts w:ascii="Times New Roman" w:hAnsi="Times New Roman"/>
          <w:szCs w:val="24"/>
        </w:rPr>
        <w:t xml:space="preserve"> Lei entra em vigor na data de sua publicação.</w:t>
      </w:r>
    </w:p>
    <w:p w:rsidR="00C863EA" w:rsidRPr="00C863EA" w:rsidRDefault="00C863EA" w:rsidP="00C863EA">
      <w:pPr>
        <w:pStyle w:val="Corpo"/>
        <w:tabs>
          <w:tab w:val="left" w:pos="1418"/>
        </w:tabs>
        <w:rPr>
          <w:rFonts w:ascii="Times New Roman" w:hAnsi="Times New Roman"/>
        </w:rPr>
      </w:pP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CC7D23" w:rsidRDefault="00CC7D23" w:rsidP="002F20D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 início do mês de Fevereiro deste ano, os principais veículos de informações noticiaram a morte de uma idosa de 74 anos que foi assassinada a facadas na cidade Valparaíso no Estado de </w:t>
      </w:r>
      <w:r w:rsidR="00816DC1">
        <w:rPr>
          <w:rFonts w:ascii="Times New Roman" w:eastAsia="Calibri" w:hAnsi="Times New Roman" w:cs="Times New Roman"/>
          <w:sz w:val="24"/>
          <w:szCs w:val="24"/>
        </w:rPr>
        <w:t>Goiás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Ocorre que apesar da notícia ser recorrente no país, a forma como o crime ocorreu chamou a atenção. </w:t>
      </w:r>
    </w:p>
    <w:p w:rsidR="00A3025D" w:rsidRDefault="00A3025D" w:rsidP="00A3025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 acordo com</w:t>
      </w:r>
      <w:r w:rsidR="00CC7D23">
        <w:rPr>
          <w:rFonts w:ascii="Times New Roman" w:eastAsia="Calibri" w:hAnsi="Times New Roman" w:cs="Times New Roman"/>
          <w:sz w:val="24"/>
          <w:szCs w:val="24"/>
        </w:rPr>
        <w:t xml:space="preserve"> depoimento prestado pela polícia, o acusado de cometer o crime já vinha em fuga da Guarda Municipal quando adentrou em um estabelecimento comercial e teve acesso a uma faca a qual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utilizou para desferir golpes na vítima de 74 anos,</w:t>
      </w:r>
      <w:r w:rsidR="00CC7D23">
        <w:rPr>
          <w:rFonts w:ascii="Times New Roman" w:eastAsia="Calibri" w:hAnsi="Times New Roman" w:cs="Times New Roman"/>
          <w:sz w:val="24"/>
          <w:szCs w:val="24"/>
        </w:rPr>
        <w:t xml:space="preserve"> Maria das Mercês Silva que fazia compras no mesmo local.  A situação chama atenção</w:t>
      </w:r>
      <w:r>
        <w:rPr>
          <w:rFonts w:ascii="Times New Roman" w:eastAsia="Calibri" w:hAnsi="Times New Roman" w:cs="Times New Roman"/>
          <w:sz w:val="24"/>
          <w:szCs w:val="24"/>
        </w:rPr>
        <w:t>, pois</w:t>
      </w:r>
      <w:r w:rsidR="00CC7D23">
        <w:rPr>
          <w:rFonts w:ascii="Times New Roman" w:eastAsia="Calibri" w:hAnsi="Times New Roman" w:cs="Times New Roman"/>
          <w:sz w:val="24"/>
          <w:szCs w:val="24"/>
        </w:rPr>
        <w:t xml:space="preserve"> o agente do delito não teve qualquer dificuldade para acessar a arma do crime que estava exposta na prateleira de um estabelecimento comercial.</w:t>
      </w:r>
    </w:p>
    <w:p w:rsidR="00A3025D" w:rsidRDefault="00A3025D" w:rsidP="00A3025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Não obstante isso, o risco de acidentes com crianças e até mesmo com adultos é iminente com a exposição de elementos </w:t>
      </w:r>
      <w:r w:rsidR="00816DC1">
        <w:rPr>
          <w:rFonts w:ascii="Times New Roman" w:eastAsia="Calibri" w:hAnsi="Times New Roman" w:cs="Times New Roman"/>
          <w:sz w:val="24"/>
          <w:szCs w:val="24"/>
        </w:rPr>
        <w:t>perfurocortantes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sem proteção. Nesse sentido, ressalta-se que os acidentes representam um problema de saúde mund</w:t>
      </w:r>
      <w:r w:rsidR="00816DC1">
        <w:rPr>
          <w:rFonts w:ascii="Times New Roman" w:eastAsia="Calibri" w:hAnsi="Times New Roman" w:cs="Times New Roman"/>
          <w:sz w:val="24"/>
          <w:szCs w:val="24"/>
        </w:rPr>
        <w:t>ial e constitu</w:t>
      </w:r>
      <w:r>
        <w:rPr>
          <w:rFonts w:ascii="Times New Roman" w:eastAsia="Calibri" w:hAnsi="Times New Roman" w:cs="Times New Roman"/>
          <w:sz w:val="24"/>
          <w:szCs w:val="24"/>
        </w:rPr>
        <w:t>em a primeira causa de morte em crianças e em adultos jovens em quase todos os países.</w:t>
      </w:r>
      <w:r w:rsidR="00816DC1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15A5" w:rsidRPr="005315A5" w:rsidRDefault="00A3025D" w:rsidP="00A3025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Para evitar que esse</w:t>
      </w:r>
      <w:r w:rsidR="006C2CF1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tipo</w:t>
      </w:r>
      <w:r w:rsidR="006C2CF1">
        <w:rPr>
          <w:rFonts w:ascii="Times New Roman" w:eastAsia="Calibri" w:hAnsi="Times New Roman" w:cs="Times New Roman"/>
          <w:sz w:val="24"/>
          <w:szCs w:val="24"/>
        </w:rPr>
        <w:t>s de situações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ocorra</w:t>
      </w:r>
      <w:r w:rsidR="006C2CF1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âmbito do Estado do Maranhão, a presente propositura conta </w:t>
      </w:r>
      <w:r w:rsidR="006C2CF1">
        <w:rPr>
          <w:rFonts w:ascii="Times New Roman" w:eastAsia="Calibri" w:hAnsi="Times New Roman" w:cs="Times New Roman"/>
          <w:sz w:val="24"/>
          <w:szCs w:val="24"/>
        </w:rPr>
        <w:t xml:space="preserve">com a aprovação 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03" w:rsidRDefault="006F2C03" w:rsidP="00E660E2">
      <w:pPr>
        <w:spacing w:after="0" w:line="240" w:lineRule="auto"/>
      </w:pPr>
      <w:r>
        <w:separator/>
      </w:r>
    </w:p>
  </w:endnote>
  <w:endnote w:type="continuationSeparator" w:id="1">
    <w:p w:rsidR="006F2C03" w:rsidRDefault="006F2C03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03" w:rsidRDefault="006F2C03" w:rsidP="00E660E2">
      <w:pPr>
        <w:spacing w:after="0" w:line="240" w:lineRule="auto"/>
      </w:pPr>
      <w:r>
        <w:separator/>
      </w:r>
    </w:p>
  </w:footnote>
  <w:footnote w:type="continuationSeparator" w:id="1">
    <w:p w:rsidR="006F2C03" w:rsidRDefault="006F2C03" w:rsidP="00E660E2">
      <w:pPr>
        <w:spacing w:after="0" w:line="240" w:lineRule="auto"/>
      </w:pPr>
      <w:r>
        <w:continuationSeparator/>
      </w:r>
    </w:p>
  </w:footnote>
  <w:footnote w:id="2">
    <w:p w:rsidR="00816DC1" w:rsidRPr="00816DC1" w:rsidRDefault="00816DC1" w:rsidP="00816DC1">
      <w:pPr>
        <w:pStyle w:val="Textodenotaderodap"/>
        <w:jc w:val="both"/>
        <w:rPr>
          <w:rFonts w:ascii="Times New Roman" w:hAnsi="Times New Roman" w:cs="Times New Roman"/>
        </w:rPr>
      </w:pPr>
      <w:r w:rsidRPr="00816DC1">
        <w:rPr>
          <w:rStyle w:val="Refdenotaderodap"/>
          <w:rFonts w:ascii="Times New Roman" w:hAnsi="Times New Roman" w:cs="Times New Roman"/>
        </w:rPr>
        <w:footnoteRef/>
      </w:r>
      <w:r w:rsidRPr="00816DC1">
        <w:rPr>
          <w:rFonts w:ascii="Times New Roman" w:hAnsi="Times New Roman" w:cs="Times New Roman"/>
        </w:rPr>
        <w:t xml:space="preserve">  World Health Organization (WHO). </w:t>
      </w:r>
      <w:r w:rsidRPr="00816DC1">
        <w:rPr>
          <w:rFonts w:ascii="Times New Roman" w:hAnsi="Times New Roman" w:cs="Times New Roman"/>
          <w:b/>
        </w:rPr>
        <w:t>Child injuries in context</w:t>
      </w:r>
      <w:r w:rsidRPr="00816DC1">
        <w:rPr>
          <w:rFonts w:ascii="Times New Roman" w:hAnsi="Times New Roman" w:cs="Times New Roman"/>
        </w:rPr>
        <w:t>. Geneva: World Report on Child Injury Prevention; 2008.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C33A27"/>
    <w:multiLevelType w:val="hybridMultilevel"/>
    <w:tmpl w:val="EE54A136"/>
    <w:lvl w:ilvl="0" w:tplc="35DEE8F0">
      <w:start w:val="1"/>
      <w:numFmt w:val="upperRoman"/>
      <w:lvlText w:val="%1 - 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4384"/>
    <w:rsid w:val="000013D2"/>
    <w:rsid w:val="000050F4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5290"/>
    <w:rsid w:val="001F324A"/>
    <w:rsid w:val="001F3C66"/>
    <w:rsid w:val="001F46BC"/>
    <w:rsid w:val="00200CC3"/>
    <w:rsid w:val="00204D9F"/>
    <w:rsid w:val="00210079"/>
    <w:rsid w:val="0022581F"/>
    <w:rsid w:val="00230924"/>
    <w:rsid w:val="002631BC"/>
    <w:rsid w:val="00264292"/>
    <w:rsid w:val="002718BD"/>
    <w:rsid w:val="00275C3F"/>
    <w:rsid w:val="00284432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2F20D2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D05C1"/>
    <w:rsid w:val="003D328F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497B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83832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C2CF1"/>
    <w:rsid w:val="006F2C03"/>
    <w:rsid w:val="006F6590"/>
    <w:rsid w:val="00713F20"/>
    <w:rsid w:val="00721A7E"/>
    <w:rsid w:val="00727F0C"/>
    <w:rsid w:val="0073482B"/>
    <w:rsid w:val="007531CB"/>
    <w:rsid w:val="00754ABD"/>
    <w:rsid w:val="00756B7A"/>
    <w:rsid w:val="00762510"/>
    <w:rsid w:val="007679F1"/>
    <w:rsid w:val="00772D82"/>
    <w:rsid w:val="007778E8"/>
    <w:rsid w:val="00790152"/>
    <w:rsid w:val="00791DE6"/>
    <w:rsid w:val="007978DF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16DC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E64D0"/>
    <w:rsid w:val="008F1804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025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17C75"/>
    <w:rsid w:val="00B246C3"/>
    <w:rsid w:val="00B357F8"/>
    <w:rsid w:val="00B733FB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7DAB"/>
    <w:rsid w:val="00BE4673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C7D23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64B9-D93F-4E70-85C8-C697E097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PROJETO DE LEI Nº ____, DE 2021</vt:lpstr>
      <vt:lpstr/>
      <vt:lpstr>Autoria: DR. YGLÉSIO</vt:lpstr>
      <vt:lpstr>No início do mês de Fevereiro deste ano, os principais veículos de informações n</vt:lpstr>
      <vt:lpstr>De acordo com depoimento prestado pela polícia, o acusado de cometer o crime já </vt:lpstr>
      <vt:lpstr>Não obstante isso, o risco de acidentes com crianças e até mesmo com adultos é i</vt:lpstr>
      <vt:lpstr>Para evitar que esse tipo de situação ocorra no âmbito do Estado do Maranhão, a </vt:lpstr>
    </vt:vector>
  </TitlesOfParts>
  <Company>HP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jgdpaiva121@gmail.com</cp:lastModifiedBy>
  <cp:revision>6</cp:revision>
  <cp:lastPrinted>2020-06-08T20:50:00Z</cp:lastPrinted>
  <dcterms:created xsi:type="dcterms:W3CDTF">2021-04-09T14:18:00Z</dcterms:created>
  <dcterms:modified xsi:type="dcterms:W3CDTF">2021-04-13T13:50:00Z</dcterms:modified>
</cp:coreProperties>
</file>