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CF" w:rsidRPr="00F917CF" w:rsidRDefault="00F917CF" w:rsidP="00F917CF">
      <w:pPr>
        <w:jc w:val="center"/>
        <w:rPr>
          <w:rFonts w:ascii="Times New Roman" w:hAnsi="Times New Roman" w:cs="Times New Roman"/>
          <w:b/>
          <w:u w:val="single"/>
        </w:rPr>
      </w:pPr>
      <w:r w:rsidRPr="00F917CF">
        <w:rPr>
          <w:rFonts w:ascii="Times New Roman" w:hAnsi="Times New Roman" w:cs="Times New Roman"/>
          <w:b/>
          <w:u w:val="single"/>
        </w:rPr>
        <w:t>COMISSÃO DE CONSTITUIÇÃO, JUSTIÇA E CIDADANIA</w:t>
      </w:r>
    </w:p>
    <w:p w:rsidR="00F917CF" w:rsidRPr="00F917CF" w:rsidRDefault="00F917CF" w:rsidP="00F917C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PARECER Nº 274</w:t>
      </w:r>
      <w:r w:rsidRPr="00F917CF">
        <w:rPr>
          <w:rFonts w:ascii="Times New Roman" w:hAnsi="Times New Roman" w:cs="Times New Roman"/>
          <w:b/>
          <w:u w:val="single"/>
        </w:rPr>
        <w:t>/2015</w:t>
      </w:r>
    </w:p>
    <w:p w:rsidR="000955CF" w:rsidRDefault="000955CF" w:rsidP="0037433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-BoldItalicMT"/>
          <w:bCs/>
          <w:i/>
          <w:iCs/>
          <w:color w:val="000000" w:themeColor="text1"/>
          <w:sz w:val="24"/>
          <w:szCs w:val="24"/>
        </w:rPr>
      </w:pPr>
    </w:p>
    <w:p w:rsidR="003F41E3" w:rsidRPr="004E7AD9" w:rsidRDefault="003F41E3" w:rsidP="0037433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-BoldItalicMT"/>
          <w:bCs/>
          <w:i/>
          <w:iCs/>
          <w:color w:val="000000" w:themeColor="text1"/>
          <w:sz w:val="24"/>
          <w:szCs w:val="24"/>
        </w:rPr>
      </w:pPr>
      <w:r w:rsidRPr="005D1F17"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  <w:t>RELATÓRIO</w:t>
      </w:r>
      <w:r w:rsidR="00F917CF"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  <w:t>:</w:t>
      </w:r>
    </w:p>
    <w:p w:rsidR="00C15E7B" w:rsidRDefault="00C15E7B" w:rsidP="000347D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</w:p>
    <w:p w:rsidR="001A4998" w:rsidRDefault="007432CC" w:rsidP="000347D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-ItalicMT"/>
          <w:iCs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>Cuida</w:t>
      </w:r>
      <w:r w:rsidRPr="0049782C">
        <w:rPr>
          <w:rFonts w:ascii="Verdana" w:hAnsi="Verdana" w:cs="ArialMT"/>
          <w:color w:val="000000" w:themeColor="text1"/>
          <w:sz w:val="24"/>
          <w:szCs w:val="24"/>
        </w:rPr>
        <w:t xml:space="preserve">-se da </w:t>
      </w:r>
      <w:r w:rsidRPr="0049782C">
        <w:rPr>
          <w:rFonts w:ascii="Verdana" w:hAnsi="Verdana" w:cs="ArialMT"/>
          <w:b/>
          <w:color w:val="000000" w:themeColor="text1"/>
          <w:sz w:val="24"/>
          <w:szCs w:val="24"/>
        </w:rPr>
        <w:t>análise de cons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>titucional</w:t>
      </w:r>
      <w:r w:rsidR="000347D4">
        <w:rPr>
          <w:rFonts w:ascii="Verdana" w:hAnsi="Verdana" w:cs="ArialMT"/>
          <w:b/>
          <w:color w:val="000000" w:themeColor="text1"/>
          <w:sz w:val="24"/>
          <w:szCs w:val="24"/>
        </w:rPr>
        <w:t>idade, juridicidade, legalidade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 xml:space="preserve"> e técnica legislativa </w:t>
      </w:r>
      <w:r w:rsidRPr="0049782C">
        <w:rPr>
          <w:rFonts w:ascii="Verdana" w:hAnsi="Verdana" w:cs="ArialMT"/>
          <w:color w:val="000000" w:themeColor="text1"/>
          <w:sz w:val="24"/>
          <w:szCs w:val="24"/>
        </w:rPr>
        <w:t xml:space="preserve">do </w:t>
      </w:r>
      <w:r w:rsidRPr="0049782C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 xml:space="preserve">Projeto de </w:t>
      </w:r>
      <w:r w:rsidR="00F917CF" w:rsidRPr="0049782C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>Lei</w:t>
      </w:r>
      <w:r w:rsidR="00F917CF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 xml:space="preserve"> </w:t>
      </w:r>
      <w:r w:rsidR="00F917CF" w:rsidRPr="0049782C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>nº</w:t>
      </w:r>
      <w:r w:rsidRPr="0049782C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 xml:space="preserve"> </w:t>
      </w:r>
      <w:r w:rsidR="00712853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>200</w:t>
      </w:r>
      <w:r w:rsidRPr="0049782C"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>/</w:t>
      </w:r>
      <w:r>
        <w:rPr>
          <w:rFonts w:ascii="Verdana" w:hAnsi="Verdana" w:cs="Arial-ItalicMT"/>
          <w:b/>
          <w:iCs/>
          <w:color w:val="000000" w:themeColor="text1"/>
          <w:sz w:val="24"/>
          <w:szCs w:val="24"/>
        </w:rPr>
        <w:t>2015</w:t>
      </w:r>
      <w:r>
        <w:rPr>
          <w:rFonts w:ascii="Verdana" w:hAnsi="Verdana" w:cs="Arial-ItalicMT"/>
          <w:iCs/>
          <w:color w:val="000000" w:themeColor="text1"/>
          <w:sz w:val="24"/>
          <w:szCs w:val="24"/>
        </w:rPr>
        <w:t xml:space="preserve">, </w:t>
      </w:r>
      <w:r w:rsidR="00F917CF">
        <w:rPr>
          <w:rFonts w:ascii="Verdana" w:hAnsi="Verdana" w:cs="Arial-ItalicMT"/>
          <w:iCs/>
          <w:color w:val="000000" w:themeColor="text1"/>
          <w:sz w:val="24"/>
          <w:szCs w:val="24"/>
        </w:rPr>
        <w:t xml:space="preserve">de autoria do Senhor Deputado Paulo Neto, </w:t>
      </w:r>
      <w:r>
        <w:rPr>
          <w:rFonts w:ascii="Verdana" w:hAnsi="Verdana" w:cs="Arial-ItalicMT"/>
          <w:iCs/>
          <w:color w:val="000000" w:themeColor="text1"/>
          <w:sz w:val="24"/>
          <w:szCs w:val="24"/>
        </w:rPr>
        <w:t xml:space="preserve">que </w:t>
      </w:r>
      <w:r w:rsidR="003C1E77">
        <w:rPr>
          <w:rFonts w:ascii="Verdana" w:hAnsi="Verdana" w:cs="Arial-ItalicMT"/>
          <w:iCs/>
          <w:color w:val="000000" w:themeColor="text1"/>
          <w:sz w:val="24"/>
          <w:szCs w:val="24"/>
        </w:rPr>
        <w:t xml:space="preserve">dispõe sobre </w:t>
      </w:r>
      <w:r w:rsidR="00712853">
        <w:rPr>
          <w:rFonts w:ascii="Verdana" w:hAnsi="Verdana" w:cs="Arial-ItalicMT"/>
          <w:iCs/>
          <w:color w:val="000000" w:themeColor="text1"/>
          <w:sz w:val="24"/>
          <w:szCs w:val="24"/>
        </w:rPr>
        <w:t>autorização para condução de veículos motorizados no Estado do Maranhão.</w:t>
      </w:r>
    </w:p>
    <w:p w:rsidR="00712853" w:rsidRDefault="00712853" w:rsidP="000347D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-ItalicMT"/>
          <w:iCs/>
          <w:color w:val="000000" w:themeColor="text1"/>
          <w:sz w:val="24"/>
          <w:szCs w:val="24"/>
        </w:rPr>
      </w:pPr>
      <w:r>
        <w:rPr>
          <w:rFonts w:ascii="Verdana" w:hAnsi="Verdana" w:cs="Arial-ItalicMT"/>
          <w:iCs/>
          <w:color w:val="000000" w:themeColor="text1"/>
          <w:sz w:val="24"/>
          <w:szCs w:val="24"/>
        </w:rPr>
        <w:t>Determina o PL que todo condutor de veículo motorizado deverá possuir além das exigências já estabelecidas pelo Código de Trânsito Brasileiro – CTB, autorização (emitida pelo proprietário ou arrendatário do veículo) com declaração e firma reconhecida quando o mesmo não for de sua propriedade.</w:t>
      </w:r>
    </w:p>
    <w:p w:rsidR="00712853" w:rsidRDefault="00712853" w:rsidP="000347D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-ItalicMT"/>
          <w:iCs/>
          <w:color w:val="000000" w:themeColor="text1"/>
          <w:sz w:val="24"/>
          <w:szCs w:val="24"/>
        </w:rPr>
      </w:pPr>
      <w:r>
        <w:rPr>
          <w:rFonts w:ascii="Verdana" w:hAnsi="Verdana" w:cs="Arial-ItalicMT"/>
          <w:iCs/>
          <w:color w:val="000000" w:themeColor="text1"/>
          <w:sz w:val="24"/>
          <w:szCs w:val="24"/>
        </w:rPr>
        <w:t>O documento será de uso obrigatório para todo condutor de veículos motorizados nos municípios maranhenses e nas rodovias intermunicipais, salvo quando o proprietário do veículo ou arrendatário estiver junto com o condutor em qualquer abordagem de fiscalização.</w:t>
      </w:r>
    </w:p>
    <w:p w:rsidR="004E7AD9" w:rsidRDefault="007432CC" w:rsidP="00785C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>É o</w:t>
      </w:r>
      <w:r w:rsidR="00F16F47">
        <w:rPr>
          <w:rFonts w:ascii="Verdana" w:hAnsi="Verdana" w:cs="ArialMT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MT"/>
          <w:color w:val="000000" w:themeColor="text1"/>
          <w:sz w:val="24"/>
          <w:szCs w:val="24"/>
        </w:rPr>
        <w:t>relatório.</w:t>
      </w:r>
    </w:p>
    <w:p w:rsidR="00785C78" w:rsidRDefault="00785C78" w:rsidP="00785C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</w:pPr>
    </w:p>
    <w:p w:rsidR="00D036F1" w:rsidRDefault="00D036F1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 xml:space="preserve">Analisar-se-á neste parecer a </w:t>
      </w:r>
      <w:r w:rsidRPr="00646D3A">
        <w:rPr>
          <w:rFonts w:ascii="Verdana" w:hAnsi="Verdana" w:cs="ArialMT"/>
          <w:b/>
          <w:color w:val="000000" w:themeColor="text1"/>
          <w:sz w:val="24"/>
          <w:szCs w:val="24"/>
        </w:rPr>
        <w:t>constitucionalidade</w:t>
      </w:r>
      <w:r>
        <w:rPr>
          <w:rFonts w:ascii="Verdana" w:hAnsi="Verdana" w:cs="ArialMT"/>
          <w:color w:val="000000" w:themeColor="text1"/>
          <w:sz w:val="24"/>
          <w:szCs w:val="24"/>
        </w:rPr>
        <w:t xml:space="preserve">, a </w:t>
      </w:r>
      <w:r w:rsidRPr="00646D3A">
        <w:rPr>
          <w:rFonts w:ascii="Verdana" w:hAnsi="Verdana" w:cs="ArialMT"/>
          <w:b/>
          <w:color w:val="000000" w:themeColor="text1"/>
          <w:sz w:val="24"/>
          <w:szCs w:val="24"/>
        </w:rPr>
        <w:t>juridicidade</w:t>
      </w:r>
      <w:r>
        <w:rPr>
          <w:rFonts w:ascii="Verdana" w:hAnsi="Verdana" w:cs="ArialMT"/>
          <w:color w:val="000000" w:themeColor="text1"/>
          <w:sz w:val="24"/>
          <w:szCs w:val="24"/>
        </w:rPr>
        <w:t xml:space="preserve">, a </w:t>
      </w:r>
      <w:r w:rsidRPr="00646D3A">
        <w:rPr>
          <w:rFonts w:ascii="Verdana" w:hAnsi="Verdana" w:cs="ArialMT"/>
          <w:b/>
          <w:color w:val="000000" w:themeColor="text1"/>
          <w:sz w:val="24"/>
          <w:szCs w:val="24"/>
        </w:rPr>
        <w:t>legalidade</w:t>
      </w:r>
      <w:r>
        <w:rPr>
          <w:rFonts w:ascii="Verdana" w:hAnsi="Verdana" w:cs="ArialMT"/>
          <w:color w:val="000000" w:themeColor="text1"/>
          <w:sz w:val="24"/>
          <w:szCs w:val="24"/>
        </w:rPr>
        <w:t xml:space="preserve"> e</w:t>
      </w:r>
      <w:r w:rsidRPr="005B307C">
        <w:rPr>
          <w:rFonts w:ascii="Verdana" w:hAnsi="Verdana" w:cs="ArialMT"/>
          <w:color w:val="000000" w:themeColor="text1"/>
          <w:sz w:val="24"/>
          <w:szCs w:val="24"/>
        </w:rPr>
        <w:t xml:space="preserve"> a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 xml:space="preserve"> técnica legislativa </w:t>
      </w:r>
      <w:r>
        <w:rPr>
          <w:rFonts w:ascii="Verdana" w:hAnsi="Verdana" w:cs="ArialMT"/>
          <w:color w:val="000000" w:themeColor="text1"/>
          <w:sz w:val="24"/>
          <w:szCs w:val="24"/>
        </w:rPr>
        <w:t xml:space="preserve">do 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>PL</w:t>
      </w:r>
      <w:r w:rsidRPr="00713EF6">
        <w:rPr>
          <w:rFonts w:ascii="Verdana" w:hAnsi="Verdana" w:cs="ArialMT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 xml:space="preserve">nº </w:t>
      </w:r>
      <w:r w:rsidR="00712853">
        <w:rPr>
          <w:rFonts w:ascii="Verdana" w:hAnsi="Verdana" w:cs="ArialMT"/>
          <w:b/>
          <w:color w:val="000000" w:themeColor="text1"/>
          <w:sz w:val="24"/>
          <w:szCs w:val="24"/>
        </w:rPr>
        <w:t>200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>/2015</w:t>
      </w:r>
      <w:r>
        <w:rPr>
          <w:rFonts w:ascii="Verdana" w:hAnsi="Verdana" w:cs="ArialMT"/>
          <w:color w:val="000000" w:themeColor="text1"/>
          <w:sz w:val="24"/>
          <w:szCs w:val="24"/>
        </w:rPr>
        <w:t xml:space="preserve"> apresentado.</w:t>
      </w:r>
    </w:p>
    <w:p w:rsidR="00712853" w:rsidRPr="00712853" w:rsidRDefault="00712853" w:rsidP="00271B8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b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 xml:space="preserve">Nos termos previstos na Constituição Federal e na Constituição Estadual, a proposição em análise é </w:t>
      </w:r>
      <w:r w:rsidRPr="00712853"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  <w:t>inconstitucional</w:t>
      </w:r>
      <w:r>
        <w:rPr>
          <w:rFonts w:ascii="Verdana" w:hAnsi="Verdana" w:cs="ArialMT"/>
          <w:b/>
          <w:color w:val="000000" w:themeColor="text1"/>
          <w:sz w:val="24"/>
          <w:szCs w:val="24"/>
        </w:rPr>
        <w:t>.</w:t>
      </w:r>
    </w:p>
    <w:p w:rsidR="006F6C3A" w:rsidRDefault="00D36A2D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 xml:space="preserve">Desta forma, a Carta Magna determina </w:t>
      </w:r>
      <w:r w:rsidR="006F6C3A">
        <w:rPr>
          <w:rFonts w:ascii="Verdana" w:hAnsi="Verdana" w:cs="ArialMT"/>
          <w:color w:val="000000" w:themeColor="text1"/>
          <w:sz w:val="24"/>
          <w:szCs w:val="24"/>
        </w:rPr>
        <w:t>a competência dos Entes Federados:</w:t>
      </w:r>
    </w:p>
    <w:p w:rsidR="006F6C3A" w:rsidRDefault="006F6C3A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</w:p>
    <w:p w:rsidR="00516269" w:rsidRPr="001A3A2A" w:rsidRDefault="00712853" w:rsidP="00516269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MT"/>
          <w:color w:val="000000" w:themeColor="text1"/>
          <w:sz w:val="20"/>
          <w:szCs w:val="20"/>
        </w:rPr>
      </w:pPr>
      <w:r w:rsidRPr="001A3A2A">
        <w:rPr>
          <w:rFonts w:ascii="Verdana" w:hAnsi="Verdana" w:cs="ArialMT"/>
          <w:b/>
          <w:color w:val="000000" w:themeColor="text1"/>
          <w:sz w:val="20"/>
          <w:szCs w:val="20"/>
        </w:rPr>
        <w:lastRenderedPageBreak/>
        <w:t>Art. 22</w:t>
      </w:r>
      <w:r w:rsidRPr="001A3A2A">
        <w:rPr>
          <w:rFonts w:ascii="Verdana" w:hAnsi="Verdana" w:cs="ArialMT"/>
          <w:color w:val="000000" w:themeColor="text1"/>
          <w:sz w:val="20"/>
          <w:szCs w:val="20"/>
        </w:rPr>
        <w:t xml:space="preserve">. </w:t>
      </w:r>
      <w:r w:rsidRPr="001A3A2A">
        <w:rPr>
          <w:rFonts w:ascii="Verdana" w:hAnsi="Verdana" w:cs="ArialMT"/>
          <w:b/>
          <w:color w:val="000000" w:themeColor="text1"/>
          <w:sz w:val="20"/>
          <w:szCs w:val="20"/>
          <w:u w:val="single"/>
        </w:rPr>
        <w:t>Compete privativamente à União legislar sobre</w:t>
      </w:r>
      <w:r w:rsidRPr="001A3A2A">
        <w:rPr>
          <w:rFonts w:ascii="Verdana" w:hAnsi="Verdana" w:cs="ArialMT"/>
          <w:color w:val="000000" w:themeColor="text1"/>
          <w:sz w:val="20"/>
          <w:szCs w:val="20"/>
        </w:rPr>
        <w:t>:</w:t>
      </w:r>
    </w:p>
    <w:p w:rsidR="00712853" w:rsidRPr="001A3A2A" w:rsidRDefault="00712853" w:rsidP="00516269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MT"/>
          <w:color w:val="000000" w:themeColor="text1"/>
          <w:sz w:val="20"/>
          <w:szCs w:val="20"/>
        </w:rPr>
      </w:pPr>
      <w:r w:rsidRPr="001A3A2A">
        <w:rPr>
          <w:rFonts w:ascii="Verdana" w:hAnsi="Verdana" w:cs="ArialMT"/>
          <w:color w:val="000000" w:themeColor="text1"/>
          <w:sz w:val="20"/>
          <w:szCs w:val="20"/>
        </w:rPr>
        <w:t>[...]</w:t>
      </w:r>
    </w:p>
    <w:p w:rsidR="00712853" w:rsidRDefault="00712853" w:rsidP="00516269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1A3A2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XI - </w:t>
      </w:r>
      <w:r w:rsidRPr="001A3A2A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>trânsito e transporte</w:t>
      </w:r>
      <w:r w:rsidRPr="001A3A2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;</w:t>
      </w:r>
    </w:p>
    <w:p w:rsidR="001A3A2A" w:rsidRDefault="001A3A2A" w:rsidP="00516269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[...]</w:t>
      </w:r>
    </w:p>
    <w:p w:rsidR="001A3A2A" w:rsidRPr="001A3A2A" w:rsidRDefault="001A3A2A" w:rsidP="00516269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MT"/>
          <w:color w:val="000000" w:themeColor="text1"/>
          <w:sz w:val="20"/>
          <w:szCs w:val="20"/>
        </w:rPr>
      </w:pPr>
      <w:r w:rsidRPr="001A3A2A">
        <w:rPr>
          <w:rFonts w:ascii="Verdana" w:hAnsi="Verdana" w:cs="ArialMT"/>
          <w:bCs/>
          <w:color w:val="000000" w:themeColor="text1"/>
          <w:sz w:val="20"/>
          <w:szCs w:val="20"/>
        </w:rPr>
        <w:t>Parágrafo único. Lei complementar poderá autorizar os Estados a legislar sobre questões específicas das matérias relacionadas neste artigo.</w:t>
      </w:r>
    </w:p>
    <w:p w:rsidR="008F5266" w:rsidRDefault="008F5266" w:rsidP="007745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</w:p>
    <w:p w:rsidR="001A3A2A" w:rsidRDefault="001A3A2A" w:rsidP="007745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>Verifica-se, portanto, que a Constituição Federal de 1988 reservou à União a competência para legislar sobre trânsito e transporte, não podendo os Estados, os Municípios e o Distrito Federal legislar sobre essa matéria.</w:t>
      </w:r>
    </w:p>
    <w:p w:rsidR="001A3A2A" w:rsidRDefault="001A3A2A" w:rsidP="007745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>A previsão do parágrafo único citado acima prevê que Lei Complementar Federal poderá autorizar os Estados a legislar sobre questões específicas das matérias relacionadas no artigo, sendo que até o presente momento não existe a norma regulando sobre o tema trânsito e transporte.</w:t>
      </w:r>
    </w:p>
    <w:p w:rsidR="001A3A2A" w:rsidRDefault="001A3A2A" w:rsidP="007745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>Leciona Alexandre de Moraes que:</w:t>
      </w:r>
    </w:p>
    <w:p w:rsidR="001A3A2A" w:rsidRDefault="001A3A2A" w:rsidP="007745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</w:p>
    <w:p w:rsidR="001A3A2A" w:rsidRDefault="00886DC6" w:rsidP="00886DC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MT"/>
          <w:color w:val="000000" w:themeColor="text1"/>
          <w:sz w:val="20"/>
          <w:szCs w:val="24"/>
        </w:rPr>
      </w:pPr>
      <w:r w:rsidRPr="00886DC6">
        <w:rPr>
          <w:rFonts w:ascii="Verdana" w:hAnsi="Verdana" w:cs="ArialMT"/>
          <w:color w:val="000000" w:themeColor="text1"/>
          <w:sz w:val="20"/>
          <w:szCs w:val="24"/>
        </w:rPr>
        <w:t xml:space="preserve">A Constituição Federal de 1988, alterando a disciplina anterior (CF/69, art. 8º, XVII, </w:t>
      </w:r>
      <w:r w:rsidRPr="00886DC6">
        <w:rPr>
          <w:rFonts w:ascii="Verdana" w:hAnsi="Verdana" w:cs="ArialMT"/>
          <w:i/>
          <w:color w:val="000000" w:themeColor="text1"/>
          <w:sz w:val="20"/>
          <w:szCs w:val="24"/>
        </w:rPr>
        <w:t>n</w:t>
      </w:r>
      <w:r w:rsidRPr="00886DC6">
        <w:rPr>
          <w:rFonts w:ascii="Verdana" w:hAnsi="Verdana" w:cs="ArialMT"/>
          <w:color w:val="000000" w:themeColor="text1"/>
          <w:sz w:val="20"/>
          <w:szCs w:val="24"/>
        </w:rPr>
        <w:t>, c/</w:t>
      </w:r>
      <w:proofErr w:type="gramStart"/>
      <w:r w:rsidRPr="00886DC6">
        <w:rPr>
          <w:rFonts w:ascii="Verdana" w:hAnsi="Verdana" w:cs="ArialMT"/>
          <w:color w:val="000000" w:themeColor="text1"/>
          <w:sz w:val="20"/>
          <w:szCs w:val="24"/>
        </w:rPr>
        <w:t>c</w:t>
      </w:r>
      <w:proofErr w:type="gramEnd"/>
      <w:r w:rsidRPr="00886DC6">
        <w:rPr>
          <w:rFonts w:ascii="Verdana" w:hAnsi="Verdana" w:cs="ArialMT"/>
          <w:color w:val="000000" w:themeColor="text1"/>
          <w:sz w:val="20"/>
          <w:szCs w:val="24"/>
        </w:rPr>
        <w:t xml:space="preserve"> o seu parágrafo único – competência concorrente União/Estados), previu a competência privativa da União para legislar sobre as regras de trânsito e o transporte (CF, art. 22, XI). Essa alteração constitucional fez com que a jurisprudência do Supremo Tribunal Federal, pronunciando-se sobre o preceito inscrito no art. 22, XI, da Constituição Federal, declarasse competir privativamente à União legislar sobre trânsito e transporte, proibindo-se, via consequência, aos Estados-membros, a possibilidade de editar normas peculiares a essa mesma matéria, por não se encontrar tal hipótese contemplada no rol exaustivo das competências comuns (CF, art. 23) e concorrentes (CF, art. 24) atribuídas.</w:t>
      </w:r>
    </w:p>
    <w:p w:rsidR="00886DC6" w:rsidRDefault="00886DC6" w:rsidP="00886DC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0"/>
          <w:szCs w:val="24"/>
        </w:rPr>
        <w:lastRenderedPageBreak/>
        <w:t>Assim, por exemplo, será inconstitucional a lei estadual, por invasão da competência legislativa da União (CF, art. 22, XI), que habilita menores de dezoito anos à condução de veículos motores.</w:t>
      </w:r>
    </w:p>
    <w:p w:rsidR="001A3A2A" w:rsidRDefault="001A3A2A" w:rsidP="007745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</w:p>
    <w:p w:rsidR="00414D95" w:rsidRDefault="00414D95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 w:rsidRPr="009C1CBC">
        <w:rPr>
          <w:rFonts w:ascii="Verdana" w:hAnsi="Verdana" w:cs="ArialMT"/>
          <w:b/>
          <w:color w:val="000000" w:themeColor="text1"/>
          <w:sz w:val="24"/>
          <w:szCs w:val="24"/>
        </w:rPr>
        <w:t>Quanto à legalidade</w:t>
      </w:r>
      <w:r w:rsidR="00B65142">
        <w:rPr>
          <w:rFonts w:ascii="Verdana" w:hAnsi="Verdana" w:cs="ArialMT"/>
          <w:b/>
          <w:color w:val="000000" w:themeColor="text1"/>
          <w:sz w:val="24"/>
          <w:szCs w:val="24"/>
        </w:rPr>
        <w:t xml:space="preserve">, </w:t>
      </w:r>
      <w:r w:rsidRPr="009C1CBC">
        <w:rPr>
          <w:rFonts w:ascii="Verdana" w:hAnsi="Verdana" w:cs="ArialMT"/>
          <w:b/>
          <w:color w:val="000000" w:themeColor="text1"/>
          <w:sz w:val="24"/>
          <w:szCs w:val="24"/>
        </w:rPr>
        <w:t>à juridicidade</w:t>
      </w:r>
      <w:r w:rsidR="00B65142">
        <w:rPr>
          <w:rFonts w:ascii="Verdana" w:hAnsi="Verdana" w:cs="ArialMT"/>
          <w:color w:val="000000" w:themeColor="text1"/>
          <w:sz w:val="24"/>
          <w:szCs w:val="24"/>
        </w:rPr>
        <w:t xml:space="preserve"> e </w:t>
      </w:r>
      <w:r w:rsidR="00B65142" w:rsidRPr="009C1CBC">
        <w:rPr>
          <w:rFonts w:ascii="Verdana" w:hAnsi="Verdana" w:cs="ArialMT"/>
          <w:b/>
          <w:color w:val="000000" w:themeColor="text1"/>
          <w:sz w:val="24"/>
          <w:szCs w:val="24"/>
        </w:rPr>
        <w:t>à técnica legislativa</w:t>
      </w:r>
      <w:r w:rsidR="00B65142">
        <w:rPr>
          <w:rFonts w:ascii="Verdana" w:hAnsi="Verdana" w:cs="ArialMT"/>
          <w:color w:val="000000" w:themeColor="text1"/>
          <w:sz w:val="24"/>
          <w:szCs w:val="24"/>
        </w:rPr>
        <w:t xml:space="preserve"> </w:t>
      </w:r>
      <w:r w:rsidR="008F5266">
        <w:rPr>
          <w:rFonts w:ascii="Verdana" w:hAnsi="Verdana" w:cs="ArialMT"/>
          <w:color w:val="000000" w:themeColor="text1"/>
          <w:sz w:val="24"/>
          <w:szCs w:val="24"/>
        </w:rPr>
        <w:t>não haveria</w:t>
      </w:r>
      <w:r>
        <w:rPr>
          <w:rFonts w:ascii="Verdana" w:hAnsi="Verdana" w:cs="ArialMT"/>
          <w:color w:val="000000" w:themeColor="text1"/>
          <w:sz w:val="24"/>
          <w:szCs w:val="24"/>
        </w:rPr>
        <w:t xml:space="preserve"> objeções a fazer ao PL apresentado.</w:t>
      </w:r>
      <w:r w:rsidR="00D44F00">
        <w:rPr>
          <w:rFonts w:ascii="Verdana" w:hAnsi="Verdana" w:cs="ArialMT"/>
          <w:color w:val="000000" w:themeColor="text1"/>
          <w:sz w:val="24"/>
          <w:szCs w:val="24"/>
        </w:rPr>
        <w:t xml:space="preserve"> </w:t>
      </w:r>
    </w:p>
    <w:p w:rsidR="00A41166" w:rsidRDefault="00A41166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Cs w:val="24"/>
        </w:rPr>
      </w:pPr>
    </w:p>
    <w:p w:rsidR="00F917CF" w:rsidRPr="00F917CF" w:rsidRDefault="00F917CF" w:rsidP="00F91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  <w:r w:rsidRPr="00F917CF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VOTO DO RELATOR:</w:t>
      </w:r>
    </w:p>
    <w:p w:rsidR="007432CC" w:rsidRDefault="007432CC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 w:rsidRPr="007432CC">
        <w:rPr>
          <w:rFonts w:ascii="Verdana" w:hAnsi="Verdana" w:cs="ArialMT"/>
          <w:color w:val="000000" w:themeColor="text1"/>
          <w:sz w:val="24"/>
          <w:szCs w:val="24"/>
        </w:rPr>
        <w:t>Sendo assim</w:t>
      </w:r>
      <w:r w:rsidRPr="00F917CF">
        <w:rPr>
          <w:rFonts w:ascii="Verdana" w:hAnsi="Verdana" w:cs="ArialMT"/>
          <w:color w:val="000000" w:themeColor="text1"/>
          <w:sz w:val="24"/>
          <w:szCs w:val="24"/>
        </w:rPr>
        <w:t xml:space="preserve">, opina-se pela </w:t>
      </w:r>
      <w:r w:rsidR="008F5266" w:rsidRPr="00F917CF">
        <w:rPr>
          <w:rFonts w:ascii="Verdana" w:hAnsi="Verdana" w:cs="ArialMT"/>
          <w:color w:val="000000" w:themeColor="text1"/>
          <w:sz w:val="24"/>
          <w:szCs w:val="24"/>
        </w:rPr>
        <w:t>rejeição</w:t>
      </w:r>
      <w:r w:rsidRPr="00F917CF">
        <w:rPr>
          <w:rFonts w:ascii="Verdana" w:hAnsi="Verdana" w:cs="ArialMT"/>
          <w:color w:val="000000" w:themeColor="text1"/>
          <w:sz w:val="24"/>
          <w:szCs w:val="24"/>
        </w:rPr>
        <w:t xml:space="preserve"> do P</w:t>
      </w:r>
      <w:r w:rsidR="00F917CF" w:rsidRPr="00F917CF">
        <w:rPr>
          <w:rFonts w:ascii="Verdana" w:hAnsi="Verdana" w:cs="ArialMT"/>
          <w:color w:val="000000" w:themeColor="text1"/>
          <w:sz w:val="24"/>
          <w:szCs w:val="24"/>
        </w:rPr>
        <w:t xml:space="preserve">rojeto de </w:t>
      </w:r>
      <w:r w:rsidRPr="00F917CF">
        <w:rPr>
          <w:rFonts w:ascii="Verdana" w:hAnsi="Verdana" w:cs="ArialMT"/>
          <w:color w:val="000000" w:themeColor="text1"/>
          <w:sz w:val="24"/>
          <w:szCs w:val="24"/>
        </w:rPr>
        <w:t>L</w:t>
      </w:r>
      <w:r w:rsidR="00F917CF" w:rsidRPr="00F917CF">
        <w:rPr>
          <w:rFonts w:ascii="Verdana" w:hAnsi="Verdana" w:cs="ArialMT"/>
          <w:color w:val="000000" w:themeColor="text1"/>
          <w:sz w:val="24"/>
          <w:szCs w:val="24"/>
        </w:rPr>
        <w:t>ei</w:t>
      </w:r>
      <w:r w:rsidRPr="00F917CF">
        <w:rPr>
          <w:rFonts w:ascii="Verdana" w:hAnsi="Verdana" w:cs="ArialMT"/>
          <w:color w:val="000000" w:themeColor="text1"/>
          <w:sz w:val="24"/>
          <w:szCs w:val="24"/>
        </w:rPr>
        <w:t xml:space="preserve"> </w:t>
      </w:r>
      <w:r w:rsidR="00F917CF">
        <w:rPr>
          <w:rFonts w:ascii="Verdana" w:hAnsi="Verdana" w:cs="ArialMT"/>
          <w:color w:val="000000" w:themeColor="text1"/>
          <w:sz w:val="24"/>
          <w:szCs w:val="24"/>
        </w:rPr>
        <w:t xml:space="preserve">                               </w:t>
      </w:r>
      <w:r w:rsidRPr="00F917CF">
        <w:rPr>
          <w:rFonts w:ascii="Verdana" w:hAnsi="Verdana" w:cs="ArialMT"/>
          <w:color w:val="000000" w:themeColor="text1"/>
          <w:sz w:val="24"/>
          <w:szCs w:val="24"/>
        </w:rPr>
        <w:t xml:space="preserve">nº </w:t>
      </w:r>
      <w:r w:rsidR="00886DC6" w:rsidRPr="00F917CF">
        <w:rPr>
          <w:rFonts w:ascii="Verdana" w:hAnsi="Verdana" w:cs="ArialMT"/>
          <w:color w:val="000000" w:themeColor="text1"/>
          <w:sz w:val="24"/>
          <w:szCs w:val="24"/>
        </w:rPr>
        <w:t>200</w:t>
      </w:r>
      <w:r w:rsidRPr="00F917CF">
        <w:rPr>
          <w:rFonts w:ascii="Verdana" w:hAnsi="Verdana" w:cs="ArialMT"/>
          <w:color w:val="000000" w:themeColor="text1"/>
          <w:sz w:val="24"/>
          <w:szCs w:val="24"/>
        </w:rPr>
        <w:t>/</w:t>
      </w:r>
      <w:r w:rsidR="00BA3FC4" w:rsidRPr="00F917CF">
        <w:rPr>
          <w:rFonts w:ascii="Verdana" w:hAnsi="Verdana" w:cs="ArialMT"/>
          <w:color w:val="000000" w:themeColor="text1"/>
          <w:sz w:val="24"/>
          <w:szCs w:val="24"/>
        </w:rPr>
        <w:t>2015</w:t>
      </w:r>
      <w:r w:rsidRPr="007432CC">
        <w:rPr>
          <w:rFonts w:ascii="Verdana" w:hAnsi="Verdana" w:cs="ArialMT"/>
          <w:color w:val="000000" w:themeColor="text1"/>
          <w:sz w:val="24"/>
          <w:szCs w:val="24"/>
        </w:rPr>
        <w:t xml:space="preserve">, por </w:t>
      </w:r>
      <w:r w:rsidR="009C1CBC">
        <w:rPr>
          <w:rFonts w:ascii="Verdana" w:hAnsi="Verdana" w:cs="ArialMT"/>
          <w:color w:val="000000" w:themeColor="text1"/>
          <w:sz w:val="24"/>
          <w:szCs w:val="24"/>
        </w:rPr>
        <w:t>encontrar-se</w:t>
      </w:r>
      <w:r w:rsidRPr="007432CC">
        <w:rPr>
          <w:rFonts w:ascii="Verdana" w:hAnsi="Verdana" w:cs="ArialMT"/>
          <w:color w:val="000000" w:themeColor="text1"/>
          <w:sz w:val="24"/>
          <w:szCs w:val="24"/>
        </w:rPr>
        <w:t xml:space="preserve"> </w:t>
      </w:r>
      <w:r w:rsidR="008F5266">
        <w:rPr>
          <w:rFonts w:ascii="Verdana" w:hAnsi="Verdana" w:cs="ArialMT"/>
          <w:color w:val="000000" w:themeColor="text1"/>
          <w:sz w:val="24"/>
          <w:szCs w:val="24"/>
        </w:rPr>
        <w:t>contrário à</w:t>
      </w:r>
      <w:r w:rsidR="00D04546">
        <w:rPr>
          <w:rFonts w:ascii="Verdana" w:hAnsi="Verdana" w:cs="ArialMT"/>
          <w:color w:val="000000" w:themeColor="text1"/>
          <w:sz w:val="24"/>
          <w:szCs w:val="24"/>
        </w:rPr>
        <w:t>s normas constitucionais</w:t>
      </w:r>
      <w:r w:rsidR="008F5266">
        <w:rPr>
          <w:rFonts w:ascii="Verdana" w:hAnsi="Verdana" w:cs="ArialMT"/>
          <w:color w:val="000000" w:themeColor="text1"/>
          <w:sz w:val="24"/>
          <w:szCs w:val="24"/>
        </w:rPr>
        <w:t>.</w:t>
      </w:r>
    </w:p>
    <w:p w:rsidR="00F917CF" w:rsidRDefault="00F917CF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color w:val="000000" w:themeColor="text1"/>
          <w:sz w:val="24"/>
          <w:szCs w:val="24"/>
        </w:rPr>
      </w:pPr>
      <w:r>
        <w:rPr>
          <w:rFonts w:ascii="Verdana" w:hAnsi="Verdana" w:cs="ArialMT"/>
          <w:color w:val="000000" w:themeColor="text1"/>
          <w:sz w:val="24"/>
          <w:szCs w:val="24"/>
        </w:rPr>
        <w:t>É o voto.</w:t>
      </w:r>
    </w:p>
    <w:p w:rsidR="00F917CF" w:rsidRPr="007432CC" w:rsidRDefault="00F917CF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ArialMT"/>
          <w:b/>
          <w:color w:val="000000" w:themeColor="text1"/>
          <w:sz w:val="24"/>
          <w:szCs w:val="24"/>
        </w:rPr>
      </w:pPr>
    </w:p>
    <w:p w:rsidR="00F917CF" w:rsidRPr="00F917CF" w:rsidRDefault="00F917CF" w:rsidP="00F917CF">
      <w:pPr>
        <w:spacing w:line="360" w:lineRule="auto"/>
        <w:jc w:val="both"/>
        <w:rPr>
          <w:rFonts w:ascii="Verdana" w:hAnsi="Verdana" w:cs="Arial"/>
          <w:b/>
          <w:u w:val="single"/>
        </w:rPr>
      </w:pPr>
      <w:r w:rsidRPr="00F917CF">
        <w:rPr>
          <w:rFonts w:ascii="Verdana" w:hAnsi="Verdana" w:cs="Arial"/>
          <w:b/>
          <w:u w:val="single"/>
        </w:rPr>
        <w:t>PARECER DA COMISSÃO:</w:t>
      </w:r>
    </w:p>
    <w:p w:rsidR="00F917CF" w:rsidRPr="00F917CF" w:rsidRDefault="00F917CF" w:rsidP="00F917C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hAnsi="Verdana" w:cs="Arial"/>
        </w:rPr>
      </w:pPr>
      <w:r w:rsidRPr="00F917CF">
        <w:rPr>
          <w:rFonts w:ascii="Verdana" w:hAnsi="Verdana" w:cs="Arial"/>
        </w:rPr>
        <w:t>Os membros da Comissão de Constituição, Justiça e Cidadania votam</w:t>
      </w:r>
      <w:r w:rsidR="00166699">
        <w:rPr>
          <w:rFonts w:ascii="Verdana" w:hAnsi="Verdana" w:cs="Arial"/>
        </w:rPr>
        <w:t>, por maioria,</w:t>
      </w:r>
      <w:r w:rsidRPr="00F917CF">
        <w:rPr>
          <w:rFonts w:ascii="Verdana" w:hAnsi="Verdana" w:cs="Arial"/>
        </w:rPr>
        <w:t xml:space="preserve"> pela rejeição do Projeto de Lei nº 200/2015</w:t>
      </w:r>
      <w:r w:rsidR="00166699">
        <w:rPr>
          <w:rFonts w:ascii="Verdana" w:hAnsi="Verdana" w:cs="Arial"/>
        </w:rPr>
        <w:t>, nos termos do voto do relator, contra o voto do Senhor Deputado Paulo Neto.</w:t>
      </w:r>
    </w:p>
    <w:p w:rsidR="00F917CF" w:rsidRPr="00F917CF" w:rsidRDefault="00F917CF" w:rsidP="00F917C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hAnsi="Verdana" w:cs="Arial"/>
        </w:rPr>
      </w:pPr>
      <w:r w:rsidRPr="00F917CF">
        <w:rPr>
          <w:rFonts w:ascii="Verdana" w:hAnsi="Verdana" w:cs="Arial"/>
        </w:rPr>
        <w:t>É o parecer.</w:t>
      </w:r>
    </w:p>
    <w:p w:rsidR="00F917CF" w:rsidRDefault="00F917CF" w:rsidP="00F917CF">
      <w:pPr>
        <w:spacing w:line="360" w:lineRule="auto"/>
        <w:ind w:firstLine="709"/>
        <w:jc w:val="both"/>
        <w:rPr>
          <w:rFonts w:ascii="Arial" w:hAnsi="Arial" w:cs="Arial"/>
        </w:rPr>
      </w:pPr>
      <w:r w:rsidRPr="00D3287D">
        <w:rPr>
          <w:rFonts w:ascii="Arial" w:hAnsi="Arial" w:cs="Arial"/>
        </w:rPr>
        <w:t xml:space="preserve">           SALA DAS COMISSÕE</w:t>
      </w:r>
      <w:r>
        <w:rPr>
          <w:rFonts w:ascii="Arial" w:hAnsi="Arial" w:cs="Arial"/>
        </w:rPr>
        <w:t>S “DEPUTADO LÉO FRANKLIM”, em 29</w:t>
      </w:r>
      <w:r w:rsidRPr="00D3287D">
        <w:rPr>
          <w:rFonts w:ascii="Arial" w:hAnsi="Arial" w:cs="Arial"/>
        </w:rPr>
        <w:t xml:space="preserve"> de setembro de 2015.                                                    </w:t>
      </w:r>
    </w:p>
    <w:p w:rsidR="00166699" w:rsidRDefault="00166699" w:rsidP="00166699">
      <w:pPr>
        <w:spacing w:after="0" w:line="48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Deputado Marco Aurélio - Presidente </w:t>
      </w:r>
    </w:p>
    <w:p w:rsidR="00166699" w:rsidRDefault="00166699" w:rsidP="0016669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Deputado Fábio Macêdo- Relator</w:t>
      </w:r>
      <w:bookmarkStart w:id="0" w:name="_GoBack"/>
      <w:bookmarkEnd w:id="0"/>
    </w:p>
    <w:p w:rsidR="00166699" w:rsidRDefault="00166699" w:rsidP="0016669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Deputado Paulo Neto</w:t>
      </w:r>
      <w:r>
        <w:rPr>
          <w:rFonts w:ascii="Times New Roman" w:hAnsi="Times New Roman" w:cs="Times New Roman"/>
          <w:sz w:val="24"/>
          <w:szCs w:val="24"/>
        </w:rPr>
        <w:t>- voto contra</w:t>
      </w:r>
    </w:p>
    <w:p w:rsidR="00166699" w:rsidRDefault="00166699" w:rsidP="0016669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Deputado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Braide</w:t>
      </w:r>
      <w:proofErr w:type="spellEnd"/>
    </w:p>
    <w:p w:rsidR="00166699" w:rsidRDefault="00166699" w:rsidP="0016669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Deputado  Ricardo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Rios</w:t>
      </w:r>
    </w:p>
    <w:p w:rsidR="00166699" w:rsidRDefault="00166699" w:rsidP="0016669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Deputado Rogério Cafeteira</w:t>
      </w:r>
    </w:p>
    <w:p w:rsidR="00F917CF" w:rsidRPr="00D3287D" w:rsidRDefault="00F917CF" w:rsidP="00166699">
      <w:pPr>
        <w:spacing w:after="0" w:line="480" w:lineRule="auto"/>
        <w:ind w:left="3119"/>
        <w:jc w:val="both"/>
        <w:rPr>
          <w:rFonts w:ascii="Arial" w:hAnsi="Arial" w:cs="Arial"/>
          <w:color w:val="000000"/>
        </w:rPr>
      </w:pPr>
      <w:r w:rsidRPr="00D3287D">
        <w:rPr>
          <w:rFonts w:ascii="Arial" w:hAnsi="Arial" w:cs="Arial"/>
        </w:rPr>
        <w:t xml:space="preserve">                                                           </w:t>
      </w:r>
      <w:r w:rsidRPr="00663371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sectPr w:rsidR="00F917CF" w:rsidRPr="00D3287D" w:rsidSect="00962ABF">
      <w:headerReference w:type="default" r:id="rId7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90" w:rsidRDefault="00946490" w:rsidP="001C4230">
      <w:pPr>
        <w:spacing w:after="0" w:line="240" w:lineRule="auto"/>
      </w:pPr>
      <w:r>
        <w:separator/>
      </w:r>
    </w:p>
  </w:endnote>
  <w:endnote w:type="continuationSeparator" w:id="0">
    <w:p w:rsidR="00946490" w:rsidRDefault="0094649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90" w:rsidRDefault="00946490" w:rsidP="001C4230">
      <w:pPr>
        <w:spacing w:after="0" w:line="240" w:lineRule="auto"/>
      </w:pPr>
      <w:r>
        <w:separator/>
      </w:r>
    </w:p>
  </w:footnote>
  <w:footnote w:type="continuationSeparator" w:id="0">
    <w:p w:rsidR="00946490" w:rsidRDefault="0094649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CF" w:rsidRPr="00F917CF" w:rsidRDefault="00F917CF" w:rsidP="00F917CF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hAnsi="Times New Roman" w:cs="Times New Roman"/>
        <w:b/>
        <w:color w:val="000080"/>
        <w:sz w:val="18"/>
        <w:szCs w:val="18"/>
      </w:rPr>
    </w:pPr>
    <w:r w:rsidRPr="00F917CF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>
          <wp:extent cx="941705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7CF" w:rsidRPr="00F917CF" w:rsidRDefault="00F917CF" w:rsidP="00F917C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917CF">
      <w:rPr>
        <w:rFonts w:ascii="Times New Roman" w:hAnsi="Times New Roman" w:cs="Times New Roman"/>
        <w:sz w:val="20"/>
        <w:szCs w:val="20"/>
      </w:rPr>
      <w:t>ESTADO DO MARANHÃO</w:t>
    </w:r>
  </w:p>
  <w:p w:rsidR="00F917CF" w:rsidRPr="00F917CF" w:rsidRDefault="00F917CF" w:rsidP="00F917C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917CF">
      <w:rPr>
        <w:rFonts w:ascii="Times New Roman" w:hAnsi="Times New Roman" w:cs="Times New Roman"/>
        <w:sz w:val="20"/>
        <w:szCs w:val="20"/>
      </w:rPr>
      <w:t>ASSEMBLEIA LEGISLATIVA DO MARANHÃO</w:t>
    </w:r>
  </w:p>
  <w:p w:rsidR="00F917CF" w:rsidRPr="00F917CF" w:rsidRDefault="00F917CF" w:rsidP="00F917C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917CF">
      <w:rPr>
        <w:rFonts w:ascii="Times New Roman" w:hAnsi="Times New Roman" w:cs="Times New Roman"/>
        <w:b/>
        <w:sz w:val="20"/>
        <w:szCs w:val="20"/>
      </w:rPr>
      <w:t>INSTALADA EM 16 DE FEVEREIRO DE 1835</w:t>
    </w:r>
  </w:p>
  <w:p w:rsidR="00F917CF" w:rsidRPr="00F917CF" w:rsidRDefault="00F917CF" w:rsidP="00F917C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917CF">
      <w:rPr>
        <w:rFonts w:ascii="Times New Roman" w:hAnsi="Times New Roman" w:cs="Times New Roman"/>
        <w:sz w:val="20"/>
        <w:szCs w:val="20"/>
      </w:rPr>
      <w:t>DIRETORIA LEGISLATIVA</w:t>
    </w:r>
  </w:p>
  <w:p w:rsidR="00F917CF" w:rsidRDefault="00F917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11905"/>
    <w:rsid w:val="00011909"/>
    <w:rsid w:val="00015F72"/>
    <w:rsid w:val="00027EDA"/>
    <w:rsid w:val="000347D4"/>
    <w:rsid w:val="00045B45"/>
    <w:rsid w:val="000601FA"/>
    <w:rsid w:val="00061E34"/>
    <w:rsid w:val="0007759D"/>
    <w:rsid w:val="00082C31"/>
    <w:rsid w:val="000847F2"/>
    <w:rsid w:val="000955CF"/>
    <w:rsid w:val="000A317D"/>
    <w:rsid w:val="000B3671"/>
    <w:rsid w:val="000B6FA2"/>
    <w:rsid w:val="000D1FEA"/>
    <w:rsid w:val="000D30BE"/>
    <w:rsid w:val="000E1119"/>
    <w:rsid w:val="000E767D"/>
    <w:rsid w:val="000E7A70"/>
    <w:rsid w:val="000F2485"/>
    <w:rsid w:val="0011362C"/>
    <w:rsid w:val="00115933"/>
    <w:rsid w:val="00130EF5"/>
    <w:rsid w:val="001539A0"/>
    <w:rsid w:val="00163B10"/>
    <w:rsid w:val="00164525"/>
    <w:rsid w:val="00166699"/>
    <w:rsid w:val="00183CDE"/>
    <w:rsid w:val="0019434F"/>
    <w:rsid w:val="001A2CB1"/>
    <w:rsid w:val="001A3A2A"/>
    <w:rsid w:val="001A4998"/>
    <w:rsid w:val="001B08C9"/>
    <w:rsid w:val="001B117E"/>
    <w:rsid w:val="001B28E7"/>
    <w:rsid w:val="001B7D09"/>
    <w:rsid w:val="001C4230"/>
    <w:rsid w:val="001C48D7"/>
    <w:rsid w:val="001D1E88"/>
    <w:rsid w:val="001D359A"/>
    <w:rsid w:val="001F39AA"/>
    <w:rsid w:val="00203E48"/>
    <w:rsid w:val="00205D2D"/>
    <w:rsid w:val="0020772E"/>
    <w:rsid w:val="00224EB3"/>
    <w:rsid w:val="00224EF7"/>
    <w:rsid w:val="002401C1"/>
    <w:rsid w:val="002438B3"/>
    <w:rsid w:val="0024457A"/>
    <w:rsid w:val="00245FDF"/>
    <w:rsid w:val="00250735"/>
    <w:rsid w:val="002541BD"/>
    <w:rsid w:val="00256155"/>
    <w:rsid w:val="00257BCB"/>
    <w:rsid w:val="00267C81"/>
    <w:rsid w:val="00271B8A"/>
    <w:rsid w:val="00275871"/>
    <w:rsid w:val="00276418"/>
    <w:rsid w:val="0028494B"/>
    <w:rsid w:val="00285949"/>
    <w:rsid w:val="0029475C"/>
    <w:rsid w:val="002A0398"/>
    <w:rsid w:val="002A1730"/>
    <w:rsid w:val="002A4C81"/>
    <w:rsid w:val="002B78CE"/>
    <w:rsid w:val="002C15DE"/>
    <w:rsid w:val="002C5319"/>
    <w:rsid w:val="002C6F4C"/>
    <w:rsid w:val="002D65C0"/>
    <w:rsid w:val="002E5F68"/>
    <w:rsid w:val="002E66E7"/>
    <w:rsid w:val="002F0595"/>
    <w:rsid w:val="003008EF"/>
    <w:rsid w:val="00307D6F"/>
    <w:rsid w:val="00307D9E"/>
    <w:rsid w:val="00317761"/>
    <w:rsid w:val="003311CF"/>
    <w:rsid w:val="00336287"/>
    <w:rsid w:val="0034270E"/>
    <w:rsid w:val="00344904"/>
    <w:rsid w:val="003526C6"/>
    <w:rsid w:val="00370C32"/>
    <w:rsid w:val="00374338"/>
    <w:rsid w:val="00374CE5"/>
    <w:rsid w:val="0037672F"/>
    <w:rsid w:val="00394985"/>
    <w:rsid w:val="003A13D9"/>
    <w:rsid w:val="003A682D"/>
    <w:rsid w:val="003C1E77"/>
    <w:rsid w:val="003D31DA"/>
    <w:rsid w:val="003E407D"/>
    <w:rsid w:val="003E66A4"/>
    <w:rsid w:val="003E7F7D"/>
    <w:rsid w:val="003F1456"/>
    <w:rsid w:val="003F34CA"/>
    <w:rsid w:val="003F41E3"/>
    <w:rsid w:val="003F6962"/>
    <w:rsid w:val="00405045"/>
    <w:rsid w:val="004107DC"/>
    <w:rsid w:val="00413198"/>
    <w:rsid w:val="00414D95"/>
    <w:rsid w:val="00415D52"/>
    <w:rsid w:val="00415E9A"/>
    <w:rsid w:val="00422A7B"/>
    <w:rsid w:val="00423368"/>
    <w:rsid w:val="00433FBF"/>
    <w:rsid w:val="00440246"/>
    <w:rsid w:val="00450AF9"/>
    <w:rsid w:val="00454E49"/>
    <w:rsid w:val="00455382"/>
    <w:rsid w:val="004600BC"/>
    <w:rsid w:val="00466C49"/>
    <w:rsid w:val="004679B5"/>
    <w:rsid w:val="00470B65"/>
    <w:rsid w:val="00470C1D"/>
    <w:rsid w:val="004846A8"/>
    <w:rsid w:val="00492614"/>
    <w:rsid w:val="00492916"/>
    <w:rsid w:val="004935B2"/>
    <w:rsid w:val="0049782C"/>
    <w:rsid w:val="004B502D"/>
    <w:rsid w:val="004B5887"/>
    <w:rsid w:val="004C10FC"/>
    <w:rsid w:val="004D05CC"/>
    <w:rsid w:val="004D4568"/>
    <w:rsid w:val="004D5171"/>
    <w:rsid w:val="004D74A1"/>
    <w:rsid w:val="004E1210"/>
    <w:rsid w:val="004E7AD9"/>
    <w:rsid w:val="004F2A79"/>
    <w:rsid w:val="004F4090"/>
    <w:rsid w:val="00507D84"/>
    <w:rsid w:val="00513ED3"/>
    <w:rsid w:val="00516269"/>
    <w:rsid w:val="0051675B"/>
    <w:rsid w:val="00521FB6"/>
    <w:rsid w:val="0053178D"/>
    <w:rsid w:val="00531DBE"/>
    <w:rsid w:val="00533E43"/>
    <w:rsid w:val="00540065"/>
    <w:rsid w:val="005416DF"/>
    <w:rsid w:val="00542490"/>
    <w:rsid w:val="00545ABF"/>
    <w:rsid w:val="00545DE1"/>
    <w:rsid w:val="005502C4"/>
    <w:rsid w:val="00551CA9"/>
    <w:rsid w:val="00560F3A"/>
    <w:rsid w:val="005836AB"/>
    <w:rsid w:val="00590751"/>
    <w:rsid w:val="00593811"/>
    <w:rsid w:val="005B275C"/>
    <w:rsid w:val="005B307C"/>
    <w:rsid w:val="005B4F48"/>
    <w:rsid w:val="005B54D6"/>
    <w:rsid w:val="005B5747"/>
    <w:rsid w:val="005B58F3"/>
    <w:rsid w:val="005B5F44"/>
    <w:rsid w:val="005D1F17"/>
    <w:rsid w:val="005E2B3B"/>
    <w:rsid w:val="005E6D2D"/>
    <w:rsid w:val="005F113E"/>
    <w:rsid w:val="005F64E4"/>
    <w:rsid w:val="00607E01"/>
    <w:rsid w:val="00610151"/>
    <w:rsid w:val="006112FE"/>
    <w:rsid w:val="006201F0"/>
    <w:rsid w:val="006253CE"/>
    <w:rsid w:val="00642351"/>
    <w:rsid w:val="00646D3A"/>
    <w:rsid w:val="00646FEC"/>
    <w:rsid w:val="006520C5"/>
    <w:rsid w:val="006544E1"/>
    <w:rsid w:val="006636CD"/>
    <w:rsid w:val="00686396"/>
    <w:rsid w:val="00690A03"/>
    <w:rsid w:val="00692E4A"/>
    <w:rsid w:val="006A2F11"/>
    <w:rsid w:val="006B7BAA"/>
    <w:rsid w:val="006C337B"/>
    <w:rsid w:val="006C7337"/>
    <w:rsid w:val="006D06B7"/>
    <w:rsid w:val="006E22C0"/>
    <w:rsid w:val="006F00A5"/>
    <w:rsid w:val="006F3A2F"/>
    <w:rsid w:val="006F56C3"/>
    <w:rsid w:val="006F6C3A"/>
    <w:rsid w:val="00700843"/>
    <w:rsid w:val="007009ED"/>
    <w:rsid w:val="00707FFC"/>
    <w:rsid w:val="00712853"/>
    <w:rsid w:val="00712BFF"/>
    <w:rsid w:val="00713EF6"/>
    <w:rsid w:val="0071677C"/>
    <w:rsid w:val="00726208"/>
    <w:rsid w:val="00732778"/>
    <w:rsid w:val="007416C3"/>
    <w:rsid w:val="00742FB7"/>
    <w:rsid w:val="007432CC"/>
    <w:rsid w:val="00751D9D"/>
    <w:rsid w:val="00767420"/>
    <w:rsid w:val="0077455C"/>
    <w:rsid w:val="007754AE"/>
    <w:rsid w:val="0078494D"/>
    <w:rsid w:val="00785C78"/>
    <w:rsid w:val="0079618F"/>
    <w:rsid w:val="00796523"/>
    <w:rsid w:val="00797738"/>
    <w:rsid w:val="007A248F"/>
    <w:rsid w:val="007B23EC"/>
    <w:rsid w:val="007B4A52"/>
    <w:rsid w:val="007C0C94"/>
    <w:rsid w:val="007C7065"/>
    <w:rsid w:val="007D37C7"/>
    <w:rsid w:val="007D7670"/>
    <w:rsid w:val="007E4518"/>
    <w:rsid w:val="007E66C7"/>
    <w:rsid w:val="007E6D21"/>
    <w:rsid w:val="007F4201"/>
    <w:rsid w:val="00805F8D"/>
    <w:rsid w:val="008075E9"/>
    <w:rsid w:val="00811D7C"/>
    <w:rsid w:val="008133B4"/>
    <w:rsid w:val="00820375"/>
    <w:rsid w:val="008241E9"/>
    <w:rsid w:val="008256DB"/>
    <w:rsid w:val="008410D3"/>
    <w:rsid w:val="00842381"/>
    <w:rsid w:val="0085306B"/>
    <w:rsid w:val="00861B21"/>
    <w:rsid w:val="00863B0A"/>
    <w:rsid w:val="00874730"/>
    <w:rsid w:val="00880A32"/>
    <w:rsid w:val="0088454F"/>
    <w:rsid w:val="00886DC6"/>
    <w:rsid w:val="00891ACF"/>
    <w:rsid w:val="00897304"/>
    <w:rsid w:val="008B5B56"/>
    <w:rsid w:val="008C1ED0"/>
    <w:rsid w:val="008C3B8E"/>
    <w:rsid w:val="008C53E2"/>
    <w:rsid w:val="008C5927"/>
    <w:rsid w:val="008C62E6"/>
    <w:rsid w:val="008D7CBE"/>
    <w:rsid w:val="008F5266"/>
    <w:rsid w:val="008F6A5F"/>
    <w:rsid w:val="00904315"/>
    <w:rsid w:val="00906E3D"/>
    <w:rsid w:val="0091556C"/>
    <w:rsid w:val="009240CE"/>
    <w:rsid w:val="0092475B"/>
    <w:rsid w:val="00925839"/>
    <w:rsid w:val="00931773"/>
    <w:rsid w:val="00931FBC"/>
    <w:rsid w:val="009450C8"/>
    <w:rsid w:val="00946490"/>
    <w:rsid w:val="0095677F"/>
    <w:rsid w:val="00962ABF"/>
    <w:rsid w:val="00966649"/>
    <w:rsid w:val="009758E3"/>
    <w:rsid w:val="00981F4E"/>
    <w:rsid w:val="00986D3A"/>
    <w:rsid w:val="009A174C"/>
    <w:rsid w:val="009A47EE"/>
    <w:rsid w:val="009A5DB0"/>
    <w:rsid w:val="009B58A3"/>
    <w:rsid w:val="009B708A"/>
    <w:rsid w:val="009C1CBC"/>
    <w:rsid w:val="009C303F"/>
    <w:rsid w:val="009C33D5"/>
    <w:rsid w:val="009C3C46"/>
    <w:rsid w:val="009D0998"/>
    <w:rsid w:val="009D26B9"/>
    <w:rsid w:val="009E0CB4"/>
    <w:rsid w:val="009E409F"/>
    <w:rsid w:val="009F1595"/>
    <w:rsid w:val="009F1B48"/>
    <w:rsid w:val="009F605C"/>
    <w:rsid w:val="009F7FAF"/>
    <w:rsid w:val="00A0063C"/>
    <w:rsid w:val="00A07B6D"/>
    <w:rsid w:val="00A128D8"/>
    <w:rsid w:val="00A14BA1"/>
    <w:rsid w:val="00A179E8"/>
    <w:rsid w:val="00A41166"/>
    <w:rsid w:val="00A43823"/>
    <w:rsid w:val="00A45243"/>
    <w:rsid w:val="00A5031A"/>
    <w:rsid w:val="00A6666B"/>
    <w:rsid w:val="00A73223"/>
    <w:rsid w:val="00A829A5"/>
    <w:rsid w:val="00A831EC"/>
    <w:rsid w:val="00A8381B"/>
    <w:rsid w:val="00A85375"/>
    <w:rsid w:val="00A96DC5"/>
    <w:rsid w:val="00AA0A9F"/>
    <w:rsid w:val="00AB0711"/>
    <w:rsid w:val="00AB091F"/>
    <w:rsid w:val="00AB0ED9"/>
    <w:rsid w:val="00AB18AD"/>
    <w:rsid w:val="00AB4EBE"/>
    <w:rsid w:val="00AB52BA"/>
    <w:rsid w:val="00AC591A"/>
    <w:rsid w:val="00AE1F65"/>
    <w:rsid w:val="00AE20AC"/>
    <w:rsid w:val="00AE2C41"/>
    <w:rsid w:val="00AF348D"/>
    <w:rsid w:val="00B00ACB"/>
    <w:rsid w:val="00B00FA2"/>
    <w:rsid w:val="00B1347B"/>
    <w:rsid w:val="00B14412"/>
    <w:rsid w:val="00B2051E"/>
    <w:rsid w:val="00B22301"/>
    <w:rsid w:val="00B33611"/>
    <w:rsid w:val="00B43487"/>
    <w:rsid w:val="00B47682"/>
    <w:rsid w:val="00B5477F"/>
    <w:rsid w:val="00B65142"/>
    <w:rsid w:val="00B72609"/>
    <w:rsid w:val="00B72C8D"/>
    <w:rsid w:val="00B801F7"/>
    <w:rsid w:val="00B80A0A"/>
    <w:rsid w:val="00B81500"/>
    <w:rsid w:val="00B97D5B"/>
    <w:rsid w:val="00BA3FC4"/>
    <w:rsid w:val="00BA69D9"/>
    <w:rsid w:val="00BB0723"/>
    <w:rsid w:val="00BB2018"/>
    <w:rsid w:val="00BC0174"/>
    <w:rsid w:val="00BC23E2"/>
    <w:rsid w:val="00BC4D8F"/>
    <w:rsid w:val="00BD7C19"/>
    <w:rsid w:val="00BE23DD"/>
    <w:rsid w:val="00BE42AB"/>
    <w:rsid w:val="00BE76D6"/>
    <w:rsid w:val="00BF46DD"/>
    <w:rsid w:val="00BF548E"/>
    <w:rsid w:val="00C02B6D"/>
    <w:rsid w:val="00C15E7B"/>
    <w:rsid w:val="00C1620C"/>
    <w:rsid w:val="00C21A22"/>
    <w:rsid w:val="00C563DB"/>
    <w:rsid w:val="00C62F04"/>
    <w:rsid w:val="00C64ED4"/>
    <w:rsid w:val="00C6560E"/>
    <w:rsid w:val="00C735A8"/>
    <w:rsid w:val="00C82070"/>
    <w:rsid w:val="00C86E1C"/>
    <w:rsid w:val="00C91142"/>
    <w:rsid w:val="00C9342A"/>
    <w:rsid w:val="00C941F3"/>
    <w:rsid w:val="00CB0C56"/>
    <w:rsid w:val="00CC4BE5"/>
    <w:rsid w:val="00CC6036"/>
    <w:rsid w:val="00CC65D2"/>
    <w:rsid w:val="00CC6915"/>
    <w:rsid w:val="00CD4398"/>
    <w:rsid w:val="00CD73A6"/>
    <w:rsid w:val="00CE0EF0"/>
    <w:rsid w:val="00CE421A"/>
    <w:rsid w:val="00CF73F1"/>
    <w:rsid w:val="00CF7B16"/>
    <w:rsid w:val="00D036F1"/>
    <w:rsid w:val="00D04546"/>
    <w:rsid w:val="00D1248B"/>
    <w:rsid w:val="00D12994"/>
    <w:rsid w:val="00D1519E"/>
    <w:rsid w:val="00D151D2"/>
    <w:rsid w:val="00D15E10"/>
    <w:rsid w:val="00D17B24"/>
    <w:rsid w:val="00D23764"/>
    <w:rsid w:val="00D23E24"/>
    <w:rsid w:val="00D30096"/>
    <w:rsid w:val="00D3547A"/>
    <w:rsid w:val="00D3644C"/>
    <w:rsid w:val="00D36A2D"/>
    <w:rsid w:val="00D40616"/>
    <w:rsid w:val="00D44D30"/>
    <w:rsid w:val="00D44F00"/>
    <w:rsid w:val="00D468F0"/>
    <w:rsid w:val="00D570CD"/>
    <w:rsid w:val="00D80554"/>
    <w:rsid w:val="00D93837"/>
    <w:rsid w:val="00D97882"/>
    <w:rsid w:val="00D97DA1"/>
    <w:rsid w:val="00DA054F"/>
    <w:rsid w:val="00DB02FA"/>
    <w:rsid w:val="00DC692B"/>
    <w:rsid w:val="00DD077A"/>
    <w:rsid w:val="00DD5C4B"/>
    <w:rsid w:val="00DE3200"/>
    <w:rsid w:val="00DF557C"/>
    <w:rsid w:val="00E004E9"/>
    <w:rsid w:val="00E02256"/>
    <w:rsid w:val="00E0594C"/>
    <w:rsid w:val="00E149AC"/>
    <w:rsid w:val="00E15039"/>
    <w:rsid w:val="00E15C20"/>
    <w:rsid w:val="00E21962"/>
    <w:rsid w:val="00E325FA"/>
    <w:rsid w:val="00E36E18"/>
    <w:rsid w:val="00E43956"/>
    <w:rsid w:val="00E56D57"/>
    <w:rsid w:val="00E623A1"/>
    <w:rsid w:val="00E7086F"/>
    <w:rsid w:val="00E73BE7"/>
    <w:rsid w:val="00E83287"/>
    <w:rsid w:val="00E96EA5"/>
    <w:rsid w:val="00EB4322"/>
    <w:rsid w:val="00EB504E"/>
    <w:rsid w:val="00ED7B89"/>
    <w:rsid w:val="00EE65D9"/>
    <w:rsid w:val="00EF5E64"/>
    <w:rsid w:val="00F03572"/>
    <w:rsid w:val="00F06205"/>
    <w:rsid w:val="00F160A0"/>
    <w:rsid w:val="00F16F47"/>
    <w:rsid w:val="00F22D76"/>
    <w:rsid w:val="00F23BC8"/>
    <w:rsid w:val="00F25B63"/>
    <w:rsid w:val="00F3355B"/>
    <w:rsid w:val="00F45A03"/>
    <w:rsid w:val="00F56DDB"/>
    <w:rsid w:val="00F67520"/>
    <w:rsid w:val="00F70311"/>
    <w:rsid w:val="00F71A44"/>
    <w:rsid w:val="00F76DCF"/>
    <w:rsid w:val="00F8008F"/>
    <w:rsid w:val="00F83879"/>
    <w:rsid w:val="00F83D4D"/>
    <w:rsid w:val="00F917CF"/>
    <w:rsid w:val="00F95C51"/>
    <w:rsid w:val="00F961B8"/>
    <w:rsid w:val="00FB685C"/>
    <w:rsid w:val="00FC1D42"/>
    <w:rsid w:val="00FC1FD9"/>
    <w:rsid w:val="00FC6F73"/>
    <w:rsid w:val="00FD2170"/>
    <w:rsid w:val="00FD5468"/>
    <w:rsid w:val="00FD6C2A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3A07-5B7F-4320-ADE1-519C420F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5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maneton</cp:lastModifiedBy>
  <cp:revision>2</cp:revision>
  <cp:lastPrinted>2015-09-18T13:20:00Z</cp:lastPrinted>
  <dcterms:created xsi:type="dcterms:W3CDTF">2015-09-29T13:41:00Z</dcterms:created>
  <dcterms:modified xsi:type="dcterms:W3CDTF">2015-09-29T13:41:00Z</dcterms:modified>
</cp:coreProperties>
</file>