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3414" w14:textId="77777777" w:rsidR="00E212D5" w:rsidRPr="00E212D5" w:rsidRDefault="00E212D5" w:rsidP="00E212D5">
      <w:pPr>
        <w:jc w:val="center"/>
        <w:rPr>
          <w:rFonts w:ascii="Times New Roman" w:hAnsi="Times New Roman" w:cs="Times New Roman"/>
          <w:b/>
          <w:u w:val="single"/>
        </w:rPr>
      </w:pPr>
      <w:r w:rsidRPr="00E212D5">
        <w:rPr>
          <w:rFonts w:ascii="Times New Roman" w:hAnsi="Times New Roman" w:cs="Times New Roman"/>
          <w:b/>
          <w:u w:val="single"/>
        </w:rPr>
        <w:t>COMISSÃO DE CONSTITUIÇÃO, JUSTIÇA E CIDADANIA</w:t>
      </w:r>
    </w:p>
    <w:p w14:paraId="4C7BCF76" w14:textId="5D21D529" w:rsidR="00E212D5" w:rsidRPr="00E212D5" w:rsidRDefault="00E212D5" w:rsidP="00E212D5">
      <w:pPr>
        <w:jc w:val="center"/>
        <w:rPr>
          <w:rFonts w:ascii="Times New Roman" w:hAnsi="Times New Roman" w:cs="Times New Roman"/>
          <w:b/>
          <w:u w:val="single"/>
        </w:rPr>
      </w:pPr>
      <w:r w:rsidRPr="00E212D5">
        <w:rPr>
          <w:rFonts w:ascii="Times New Roman" w:hAnsi="Times New Roman" w:cs="Times New Roman"/>
          <w:b/>
          <w:u w:val="single"/>
        </w:rPr>
        <w:t xml:space="preserve">PARECER Nº </w:t>
      </w:r>
      <w:r>
        <w:rPr>
          <w:rFonts w:ascii="Times New Roman" w:hAnsi="Times New Roman" w:cs="Times New Roman"/>
          <w:b/>
          <w:u w:val="single"/>
        </w:rPr>
        <w:t>100/</w:t>
      </w:r>
      <w:r w:rsidRPr="00E212D5">
        <w:rPr>
          <w:rFonts w:ascii="Times New Roman" w:hAnsi="Times New Roman" w:cs="Times New Roman"/>
          <w:b/>
          <w:u w:val="single"/>
        </w:rPr>
        <w:t>2019</w:t>
      </w:r>
    </w:p>
    <w:p w14:paraId="44D2D242" w14:textId="77777777" w:rsidR="00E212D5" w:rsidRPr="00E212D5" w:rsidRDefault="00E212D5" w:rsidP="00E212D5">
      <w:pPr>
        <w:spacing w:line="360" w:lineRule="auto"/>
        <w:jc w:val="both"/>
        <w:rPr>
          <w:rFonts w:ascii="Times New Roman" w:hAnsi="Times New Roman" w:cs="Times New Roman"/>
          <w:b/>
        </w:rPr>
      </w:pPr>
      <w:r w:rsidRPr="00E212D5">
        <w:rPr>
          <w:rFonts w:ascii="Times New Roman" w:hAnsi="Times New Roman" w:cs="Times New Roman"/>
          <w:b/>
          <w:u w:val="single"/>
        </w:rPr>
        <w:t>RELATÓRIO:</w:t>
      </w:r>
    </w:p>
    <w:p w14:paraId="0292A41E" w14:textId="7F61BE2A" w:rsidR="00114D98" w:rsidRPr="00E212D5" w:rsidRDefault="00114D98" w:rsidP="00E212D5">
      <w:pPr>
        <w:pStyle w:val="Recuodecorpodetexto"/>
        <w:ind w:firstLine="1134"/>
        <w:rPr>
          <w:rFonts w:ascii="Times New Roman" w:hAnsi="Times New Roman" w:cs="Times New Roman"/>
          <w:b/>
          <w:i/>
          <w:sz w:val="22"/>
          <w:szCs w:val="22"/>
        </w:rPr>
      </w:pPr>
      <w:r w:rsidRPr="00E212D5">
        <w:rPr>
          <w:rFonts w:ascii="Times New Roman" w:hAnsi="Times New Roman" w:cs="Times New Roman"/>
          <w:sz w:val="22"/>
          <w:szCs w:val="22"/>
        </w:rPr>
        <w:t xml:space="preserve">Trata-se de Projeto Lei nº </w:t>
      </w:r>
      <w:r w:rsidR="007F3110" w:rsidRPr="00E212D5">
        <w:rPr>
          <w:rFonts w:ascii="Times New Roman" w:hAnsi="Times New Roman" w:cs="Times New Roman"/>
          <w:sz w:val="22"/>
          <w:szCs w:val="22"/>
        </w:rPr>
        <w:t>10</w:t>
      </w:r>
      <w:r w:rsidR="00366BDC" w:rsidRPr="00E212D5">
        <w:rPr>
          <w:rFonts w:ascii="Times New Roman" w:hAnsi="Times New Roman" w:cs="Times New Roman"/>
          <w:sz w:val="22"/>
          <w:szCs w:val="22"/>
        </w:rPr>
        <w:t>9</w:t>
      </w:r>
      <w:r w:rsidRPr="00E212D5">
        <w:rPr>
          <w:rFonts w:ascii="Times New Roman" w:hAnsi="Times New Roman" w:cs="Times New Roman"/>
          <w:sz w:val="22"/>
          <w:szCs w:val="22"/>
        </w:rPr>
        <w:t>/2019</w:t>
      </w:r>
      <w:r w:rsidR="007262D4">
        <w:rPr>
          <w:rFonts w:ascii="Times New Roman" w:hAnsi="Times New Roman" w:cs="Times New Roman"/>
          <w:sz w:val="22"/>
          <w:szCs w:val="22"/>
        </w:rPr>
        <w:t>,</w:t>
      </w:r>
      <w:r w:rsidRPr="00E212D5">
        <w:rPr>
          <w:rFonts w:ascii="Times New Roman" w:hAnsi="Times New Roman" w:cs="Times New Roman"/>
          <w:sz w:val="22"/>
          <w:szCs w:val="22"/>
        </w:rPr>
        <w:t xml:space="preserve"> de autoria d</w:t>
      </w:r>
      <w:r w:rsidR="007F3110" w:rsidRPr="00E212D5">
        <w:rPr>
          <w:rFonts w:ascii="Times New Roman" w:hAnsi="Times New Roman" w:cs="Times New Roman"/>
          <w:sz w:val="22"/>
          <w:szCs w:val="22"/>
        </w:rPr>
        <w:t>o</w:t>
      </w:r>
      <w:r w:rsidR="00E212D5" w:rsidRPr="00E212D5">
        <w:rPr>
          <w:rFonts w:ascii="Times New Roman" w:hAnsi="Times New Roman" w:cs="Times New Roman"/>
          <w:sz w:val="22"/>
          <w:szCs w:val="22"/>
        </w:rPr>
        <w:t xml:space="preserve"> Senhor</w:t>
      </w:r>
      <w:r w:rsidR="007F3110" w:rsidRPr="00E212D5">
        <w:rPr>
          <w:rFonts w:ascii="Times New Roman" w:hAnsi="Times New Roman" w:cs="Times New Roman"/>
          <w:sz w:val="22"/>
          <w:szCs w:val="22"/>
        </w:rPr>
        <w:t xml:space="preserve"> Deputado</w:t>
      </w:r>
      <w:r w:rsidR="00366BDC" w:rsidRPr="00E212D5">
        <w:rPr>
          <w:rFonts w:ascii="Times New Roman" w:hAnsi="Times New Roman" w:cs="Times New Roman"/>
          <w:sz w:val="22"/>
          <w:szCs w:val="22"/>
        </w:rPr>
        <w:t xml:space="preserve"> Adriano</w:t>
      </w:r>
      <w:r w:rsidRPr="00E212D5">
        <w:rPr>
          <w:rFonts w:ascii="Times New Roman" w:hAnsi="Times New Roman" w:cs="Times New Roman"/>
          <w:sz w:val="22"/>
          <w:szCs w:val="22"/>
        </w:rPr>
        <w:t xml:space="preserve"> que</w:t>
      </w:r>
      <w:r w:rsidR="00E212D5" w:rsidRPr="00E212D5">
        <w:rPr>
          <w:rFonts w:ascii="Times New Roman" w:hAnsi="Times New Roman" w:cs="Times New Roman"/>
          <w:sz w:val="22"/>
          <w:szCs w:val="22"/>
        </w:rPr>
        <w:t>,</w:t>
      </w:r>
      <w:r w:rsidRPr="00E212D5">
        <w:rPr>
          <w:rFonts w:ascii="Times New Roman" w:hAnsi="Times New Roman" w:cs="Times New Roman"/>
          <w:sz w:val="22"/>
          <w:szCs w:val="22"/>
        </w:rPr>
        <w:t xml:space="preserve"> “</w:t>
      </w:r>
      <w:r w:rsidR="00366BDC" w:rsidRPr="00E212D5">
        <w:rPr>
          <w:rFonts w:ascii="Times New Roman" w:hAnsi="Times New Roman" w:cs="Times New Roman"/>
          <w:b/>
          <w:i/>
          <w:sz w:val="22"/>
          <w:szCs w:val="22"/>
        </w:rPr>
        <w:t xml:space="preserve">Institui o </w:t>
      </w:r>
      <w:r w:rsidR="007262D4">
        <w:rPr>
          <w:rFonts w:ascii="Times New Roman" w:hAnsi="Times New Roman" w:cs="Times New Roman"/>
          <w:b/>
          <w:i/>
          <w:sz w:val="22"/>
          <w:szCs w:val="22"/>
        </w:rPr>
        <w:t>P</w:t>
      </w:r>
      <w:r w:rsidR="00366BDC" w:rsidRPr="00E212D5">
        <w:rPr>
          <w:rFonts w:ascii="Times New Roman" w:hAnsi="Times New Roman" w:cs="Times New Roman"/>
          <w:b/>
          <w:i/>
          <w:sz w:val="22"/>
          <w:szCs w:val="22"/>
        </w:rPr>
        <w:t xml:space="preserve">rograma de </w:t>
      </w:r>
      <w:r w:rsidR="007262D4">
        <w:rPr>
          <w:rFonts w:ascii="Times New Roman" w:hAnsi="Times New Roman" w:cs="Times New Roman"/>
          <w:b/>
          <w:i/>
          <w:sz w:val="22"/>
          <w:szCs w:val="22"/>
        </w:rPr>
        <w:t>P</w:t>
      </w:r>
      <w:r w:rsidR="00366BDC" w:rsidRPr="00E212D5">
        <w:rPr>
          <w:rFonts w:ascii="Times New Roman" w:hAnsi="Times New Roman" w:cs="Times New Roman"/>
          <w:b/>
          <w:i/>
          <w:sz w:val="22"/>
          <w:szCs w:val="22"/>
        </w:rPr>
        <w:t xml:space="preserve">revenção e </w:t>
      </w:r>
      <w:r w:rsidR="007262D4">
        <w:rPr>
          <w:rFonts w:ascii="Times New Roman" w:hAnsi="Times New Roman" w:cs="Times New Roman"/>
          <w:b/>
          <w:i/>
          <w:sz w:val="22"/>
          <w:szCs w:val="22"/>
        </w:rPr>
        <w:t>T</w:t>
      </w:r>
      <w:r w:rsidR="00366BDC" w:rsidRPr="00E212D5">
        <w:rPr>
          <w:rFonts w:ascii="Times New Roman" w:hAnsi="Times New Roman" w:cs="Times New Roman"/>
          <w:b/>
          <w:i/>
          <w:sz w:val="22"/>
          <w:szCs w:val="22"/>
        </w:rPr>
        <w:t xml:space="preserve">ratamento do </w:t>
      </w:r>
      <w:r w:rsidR="007262D4">
        <w:rPr>
          <w:rFonts w:ascii="Times New Roman" w:hAnsi="Times New Roman" w:cs="Times New Roman"/>
          <w:b/>
          <w:i/>
          <w:sz w:val="22"/>
          <w:szCs w:val="22"/>
        </w:rPr>
        <w:t>C</w:t>
      </w:r>
      <w:r w:rsidR="00366BDC" w:rsidRPr="00E212D5">
        <w:rPr>
          <w:rFonts w:ascii="Times New Roman" w:hAnsi="Times New Roman" w:cs="Times New Roman"/>
          <w:b/>
          <w:i/>
          <w:sz w:val="22"/>
          <w:szCs w:val="22"/>
        </w:rPr>
        <w:t>âncer de pênis (tumor peniano) e do HPV masculino</w:t>
      </w:r>
      <w:r w:rsidRPr="00E212D5">
        <w:rPr>
          <w:rFonts w:ascii="Times New Roman" w:hAnsi="Times New Roman" w:cs="Times New Roman"/>
          <w:b/>
          <w:i/>
          <w:sz w:val="22"/>
          <w:szCs w:val="22"/>
        </w:rPr>
        <w:t>”</w:t>
      </w:r>
      <w:r w:rsidR="003E4358" w:rsidRPr="00E212D5">
        <w:rPr>
          <w:rFonts w:ascii="Times New Roman" w:hAnsi="Times New Roman" w:cs="Times New Roman"/>
          <w:b/>
          <w:i/>
          <w:sz w:val="22"/>
          <w:szCs w:val="22"/>
        </w:rPr>
        <w:t>.</w:t>
      </w:r>
      <w:r w:rsidRPr="00E212D5">
        <w:rPr>
          <w:rFonts w:ascii="Times New Roman" w:hAnsi="Times New Roman" w:cs="Times New Roman"/>
          <w:b/>
          <w:i/>
          <w:sz w:val="22"/>
          <w:szCs w:val="22"/>
        </w:rPr>
        <w:t xml:space="preserve"> </w:t>
      </w:r>
    </w:p>
    <w:p w14:paraId="4EAEC267" w14:textId="4A3CB871" w:rsidR="00114D98" w:rsidRPr="00E212D5" w:rsidRDefault="00114D98" w:rsidP="00E212D5">
      <w:pPr>
        <w:pStyle w:val="Recuodecorpodetexto"/>
        <w:ind w:firstLine="1134"/>
        <w:rPr>
          <w:rFonts w:ascii="Times New Roman" w:hAnsi="Times New Roman" w:cs="Times New Roman"/>
          <w:sz w:val="22"/>
          <w:szCs w:val="22"/>
        </w:rPr>
      </w:pPr>
      <w:r w:rsidRPr="00E212D5">
        <w:rPr>
          <w:rFonts w:ascii="Times New Roman" w:hAnsi="Times New Roman" w:cs="Times New Roman"/>
          <w:sz w:val="22"/>
          <w:szCs w:val="22"/>
        </w:rPr>
        <w:t xml:space="preserve">O art. </w:t>
      </w:r>
      <w:r w:rsidR="00366BDC" w:rsidRPr="00E212D5">
        <w:rPr>
          <w:rFonts w:ascii="Times New Roman" w:hAnsi="Times New Roman" w:cs="Times New Roman"/>
          <w:sz w:val="22"/>
          <w:szCs w:val="22"/>
        </w:rPr>
        <w:t>2</w:t>
      </w:r>
      <w:r w:rsidRPr="00E212D5">
        <w:rPr>
          <w:rFonts w:ascii="Times New Roman" w:hAnsi="Times New Roman" w:cs="Times New Roman"/>
          <w:sz w:val="22"/>
          <w:szCs w:val="22"/>
        </w:rPr>
        <w:t>º</w:t>
      </w:r>
      <w:r w:rsidR="007F3110" w:rsidRPr="00E212D5">
        <w:rPr>
          <w:rFonts w:ascii="Times New Roman" w:hAnsi="Times New Roman" w:cs="Times New Roman"/>
          <w:sz w:val="22"/>
          <w:szCs w:val="22"/>
        </w:rPr>
        <w:t xml:space="preserve">, </w:t>
      </w:r>
      <w:r w:rsidRPr="00E212D5">
        <w:rPr>
          <w:rFonts w:ascii="Times New Roman" w:hAnsi="Times New Roman" w:cs="Times New Roman"/>
          <w:sz w:val="22"/>
          <w:szCs w:val="22"/>
        </w:rPr>
        <w:t>por sua vez, determina que</w:t>
      </w:r>
      <w:r w:rsidR="007F3110" w:rsidRPr="00E212D5">
        <w:rPr>
          <w:rFonts w:ascii="Times New Roman" w:hAnsi="Times New Roman" w:cs="Times New Roman"/>
          <w:sz w:val="22"/>
          <w:szCs w:val="22"/>
        </w:rPr>
        <w:t xml:space="preserve"> o Estado, através d</w:t>
      </w:r>
      <w:r w:rsidR="00366BDC" w:rsidRPr="00E212D5">
        <w:rPr>
          <w:rFonts w:ascii="Times New Roman" w:hAnsi="Times New Roman" w:cs="Times New Roman"/>
          <w:sz w:val="22"/>
          <w:szCs w:val="22"/>
        </w:rPr>
        <w:t>a Secretaria de Estado de Saúde promova campanhas permanentes sobre a doença que especifica</w:t>
      </w:r>
      <w:r w:rsidRPr="00E212D5">
        <w:rPr>
          <w:rFonts w:ascii="Times New Roman" w:hAnsi="Times New Roman" w:cs="Times New Roman"/>
          <w:sz w:val="22"/>
          <w:szCs w:val="22"/>
        </w:rPr>
        <w:t xml:space="preserve">. </w:t>
      </w:r>
    </w:p>
    <w:p w14:paraId="2164C968" w14:textId="77777777" w:rsidR="00114D98" w:rsidRPr="00E212D5" w:rsidRDefault="00114D98" w:rsidP="00E212D5">
      <w:pPr>
        <w:pStyle w:val="Recuodecorpodetexto"/>
        <w:ind w:firstLine="1134"/>
        <w:rPr>
          <w:rFonts w:ascii="Times New Roman" w:hAnsi="Times New Roman" w:cs="Times New Roman"/>
          <w:sz w:val="22"/>
          <w:szCs w:val="22"/>
        </w:rPr>
      </w:pPr>
      <w:r w:rsidRPr="00E212D5">
        <w:rPr>
          <w:rFonts w:ascii="Times New Roman" w:hAnsi="Times New Roman" w:cs="Times New Roman"/>
          <w:sz w:val="22"/>
          <w:szCs w:val="22"/>
        </w:rPr>
        <w:t xml:space="preserve">Em sendo analisados constitucionalmente os dispositivos da proposição, observamos alguns vícios formais, senão vejamos. </w:t>
      </w:r>
    </w:p>
    <w:p w14:paraId="328F590C" w14:textId="77777777" w:rsidR="00114D98" w:rsidRPr="00E212D5" w:rsidRDefault="00114D98" w:rsidP="00E212D5">
      <w:pPr>
        <w:pStyle w:val="Recuodecorpodetexto"/>
        <w:ind w:firstLine="1134"/>
        <w:rPr>
          <w:rFonts w:ascii="Times New Roman" w:hAnsi="Times New Roman" w:cs="Times New Roman"/>
          <w:sz w:val="22"/>
          <w:szCs w:val="22"/>
        </w:rPr>
      </w:pPr>
      <w:r w:rsidRPr="00E212D5">
        <w:rPr>
          <w:rFonts w:ascii="Times New Roman" w:hAnsi="Times New Roman" w:cs="Times New Roman"/>
          <w:sz w:val="22"/>
          <w:szCs w:val="22"/>
        </w:rPr>
        <w:t xml:space="preserve">O projeto de lei em tela não observa o Princípio da Reserva de Iniciativa do art. 43, III e V da Constituição Estadual vez que se verifica a competência privativa do Governador do Estado quanto à iniciativa de Leis que disponham sobre organização administrativa, criação, estruturação e atribuição das Secretarias de Estado ou órgãos equivalentes e outros órgãos da Administração Pública Estadual. </w:t>
      </w:r>
    </w:p>
    <w:p w14:paraId="4057F907" w14:textId="77777777" w:rsidR="00114D98" w:rsidRPr="00E212D5" w:rsidRDefault="00114D98" w:rsidP="00E212D5">
      <w:pPr>
        <w:pStyle w:val="Recuodecorpodetexto"/>
        <w:ind w:firstLine="1134"/>
        <w:rPr>
          <w:rFonts w:ascii="Times New Roman" w:hAnsi="Times New Roman" w:cs="Times New Roman"/>
          <w:i/>
          <w:iCs/>
          <w:sz w:val="22"/>
          <w:szCs w:val="22"/>
        </w:rPr>
      </w:pPr>
      <w:r w:rsidRPr="00E212D5">
        <w:rPr>
          <w:rFonts w:ascii="Times New Roman" w:hAnsi="Times New Roman" w:cs="Times New Roman"/>
          <w:sz w:val="22"/>
          <w:szCs w:val="22"/>
        </w:rPr>
        <w:t xml:space="preserve"> A Constituição Estadual é clara ao submeter a competência para deflagrar o processo legislativo em questão à manifestação do Governador do Estado, o que, </w:t>
      </w:r>
      <w:r w:rsidRPr="00E212D5">
        <w:rPr>
          <w:rFonts w:ascii="Times New Roman" w:hAnsi="Times New Roman" w:cs="Times New Roman"/>
          <w:i/>
          <w:iCs/>
          <w:sz w:val="22"/>
          <w:szCs w:val="22"/>
        </w:rPr>
        <w:t>in</w:t>
      </w:r>
      <w:r w:rsidRPr="00E212D5">
        <w:rPr>
          <w:rFonts w:ascii="Times New Roman" w:hAnsi="Times New Roman" w:cs="Times New Roman"/>
          <w:sz w:val="22"/>
          <w:szCs w:val="22"/>
        </w:rPr>
        <w:t xml:space="preserve"> </w:t>
      </w:r>
      <w:proofErr w:type="spellStart"/>
      <w:r w:rsidRPr="00E212D5">
        <w:rPr>
          <w:rFonts w:ascii="Times New Roman" w:hAnsi="Times New Roman" w:cs="Times New Roman"/>
          <w:i/>
          <w:iCs/>
          <w:sz w:val="22"/>
          <w:szCs w:val="22"/>
        </w:rPr>
        <w:t>casu</w:t>
      </w:r>
      <w:proofErr w:type="spellEnd"/>
      <w:r w:rsidRPr="00E212D5">
        <w:rPr>
          <w:rFonts w:ascii="Times New Roman" w:hAnsi="Times New Roman" w:cs="Times New Roman"/>
          <w:sz w:val="22"/>
          <w:szCs w:val="22"/>
        </w:rPr>
        <w:t>, não houve. Senão vejamos:</w:t>
      </w:r>
    </w:p>
    <w:p w14:paraId="3B707017" w14:textId="77777777" w:rsidR="00114D98" w:rsidRPr="00E212D5" w:rsidRDefault="00114D98" w:rsidP="00114D98">
      <w:pPr>
        <w:pStyle w:val="p5"/>
        <w:tabs>
          <w:tab w:val="left" w:pos="720"/>
        </w:tabs>
        <w:spacing w:line="240" w:lineRule="auto"/>
        <w:ind w:left="2340" w:firstLine="0"/>
        <w:rPr>
          <w:sz w:val="22"/>
          <w:szCs w:val="22"/>
        </w:rPr>
      </w:pPr>
      <w:r w:rsidRPr="00E212D5">
        <w:rPr>
          <w:b/>
          <w:sz w:val="22"/>
          <w:szCs w:val="22"/>
        </w:rPr>
        <w:t>Art. 43</w:t>
      </w:r>
      <w:r w:rsidRPr="00E212D5">
        <w:rPr>
          <w:sz w:val="22"/>
          <w:szCs w:val="22"/>
        </w:rPr>
        <w:t xml:space="preserve"> - São de iniciativa privativa do Governador do Esta</w:t>
      </w:r>
      <w:r w:rsidRPr="00E212D5">
        <w:rPr>
          <w:sz w:val="22"/>
          <w:szCs w:val="22"/>
        </w:rPr>
        <w:softHyphen/>
        <w:t>do as leis que disponham sobre:</w:t>
      </w:r>
    </w:p>
    <w:p w14:paraId="6388E5B7" w14:textId="77777777" w:rsidR="00114D98" w:rsidRPr="00E212D5" w:rsidRDefault="00114D98" w:rsidP="00114D98">
      <w:pPr>
        <w:pStyle w:val="p32"/>
        <w:tabs>
          <w:tab w:val="clear" w:pos="860"/>
          <w:tab w:val="left" w:pos="720"/>
        </w:tabs>
        <w:spacing w:line="240" w:lineRule="auto"/>
        <w:ind w:left="2340" w:firstLine="0"/>
        <w:rPr>
          <w:sz w:val="22"/>
          <w:szCs w:val="22"/>
        </w:rPr>
      </w:pPr>
      <w:r w:rsidRPr="00E212D5">
        <w:rPr>
          <w:bCs/>
          <w:sz w:val="22"/>
          <w:szCs w:val="22"/>
        </w:rPr>
        <w:t>I -</w:t>
      </w:r>
      <w:r w:rsidRPr="00E212D5">
        <w:rPr>
          <w:sz w:val="22"/>
          <w:szCs w:val="22"/>
        </w:rPr>
        <w:t xml:space="preserve"> </w:t>
      </w:r>
      <w:proofErr w:type="gramStart"/>
      <w:r w:rsidRPr="00E212D5">
        <w:rPr>
          <w:sz w:val="22"/>
          <w:szCs w:val="22"/>
        </w:rPr>
        <w:t>fixação e alteração</w:t>
      </w:r>
      <w:proofErr w:type="gramEnd"/>
      <w:r w:rsidRPr="00E212D5">
        <w:rPr>
          <w:sz w:val="22"/>
          <w:szCs w:val="22"/>
        </w:rPr>
        <w:t xml:space="preserve"> dos efetivos da Polícia Militar e do Corpo de Bombeiros Militares;</w:t>
      </w:r>
    </w:p>
    <w:p w14:paraId="15E182A3" w14:textId="77777777" w:rsidR="00114D98" w:rsidRPr="00E212D5" w:rsidRDefault="00114D98" w:rsidP="00114D98">
      <w:pPr>
        <w:pStyle w:val="p13"/>
        <w:tabs>
          <w:tab w:val="clear" w:pos="840"/>
          <w:tab w:val="left" w:pos="720"/>
        </w:tabs>
        <w:spacing w:line="240" w:lineRule="auto"/>
        <w:ind w:left="2340" w:firstLine="0"/>
        <w:rPr>
          <w:sz w:val="22"/>
          <w:szCs w:val="22"/>
        </w:rPr>
      </w:pPr>
      <w:r w:rsidRPr="00E212D5">
        <w:rPr>
          <w:bCs/>
          <w:sz w:val="22"/>
          <w:szCs w:val="22"/>
        </w:rPr>
        <w:t>II -</w:t>
      </w:r>
      <w:r w:rsidRPr="00E212D5">
        <w:rPr>
          <w:sz w:val="22"/>
          <w:szCs w:val="22"/>
        </w:rPr>
        <w:t xml:space="preserve"> </w:t>
      </w:r>
      <w:proofErr w:type="gramStart"/>
      <w:r w:rsidRPr="00E212D5">
        <w:rPr>
          <w:sz w:val="22"/>
          <w:szCs w:val="22"/>
        </w:rPr>
        <w:t>criação</w:t>
      </w:r>
      <w:proofErr w:type="gramEnd"/>
      <w:r w:rsidRPr="00E212D5">
        <w:rPr>
          <w:sz w:val="22"/>
          <w:szCs w:val="22"/>
        </w:rPr>
        <w:t xml:space="preserve"> de cargos, funções ou empregos públicos na administração direta e autárquica ou aumento de sua remuneração;</w:t>
      </w:r>
    </w:p>
    <w:p w14:paraId="075D62F0" w14:textId="77777777" w:rsidR="00114D98" w:rsidRPr="00E212D5" w:rsidRDefault="00114D98" w:rsidP="00114D98">
      <w:pPr>
        <w:pStyle w:val="p32"/>
        <w:tabs>
          <w:tab w:val="clear" w:pos="860"/>
          <w:tab w:val="left" w:pos="720"/>
        </w:tabs>
        <w:spacing w:line="240" w:lineRule="auto"/>
        <w:ind w:left="2340" w:firstLine="0"/>
        <w:rPr>
          <w:b/>
          <w:sz w:val="22"/>
          <w:szCs w:val="22"/>
          <w:u w:val="single"/>
        </w:rPr>
      </w:pPr>
      <w:r w:rsidRPr="00E212D5">
        <w:rPr>
          <w:b/>
          <w:sz w:val="22"/>
          <w:szCs w:val="22"/>
          <w:u w:val="single"/>
        </w:rPr>
        <w:t>III - organização administrativa, matéria tributária e or</w:t>
      </w:r>
      <w:r w:rsidRPr="00E212D5">
        <w:rPr>
          <w:b/>
          <w:sz w:val="22"/>
          <w:szCs w:val="22"/>
          <w:u w:val="single"/>
        </w:rPr>
        <w:softHyphen/>
        <w:t>çamentária e serviços públicos;</w:t>
      </w:r>
    </w:p>
    <w:p w14:paraId="24A93BC0" w14:textId="77777777" w:rsidR="00114D98" w:rsidRPr="00E212D5" w:rsidRDefault="00114D98" w:rsidP="00114D98">
      <w:pPr>
        <w:pStyle w:val="p13"/>
        <w:tabs>
          <w:tab w:val="clear" w:pos="840"/>
          <w:tab w:val="left" w:pos="720"/>
        </w:tabs>
        <w:spacing w:line="240" w:lineRule="auto"/>
        <w:ind w:left="2340" w:firstLine="0"/>
        <w:rPr>
          <w:b/>
          <w:sz w:val="22"/>
          <w:szCs w:val="22"/>
          <w:u w:val="single"/>
        </w:rPr>
      </w:pPr>
      <w:r w:rsidRPr="00E212D5">
        <w:rPr>
          <w:bCs/>
          <w:sz w:val="22"/>
          <w:szCs w:val="22"/>
        </w:rPr>
        <w:t>IV-</w:t>
      </w:r>
      <w:r w:rsidRPr="00E212D5">
        <w:rPr>
          <w:sz w:val="22"/>
          <w:szCs w:val="22"/>
        </w:rPr>
        <w:t xml:space="preserve"> </w:t>
      </w:r>
      <w:proofErr w:type="gramStart"/>
      <w:r w:rsidRPr="00E212D5">
        <w:rPr>
          <w:sz w:val="22"/>
          <w:szCs w:val="22"/>
        </w:rPr>
        <w:t>servidores</w:t>
      </w:r>
      <w:proofErr w:type="gramEnd"/>
      <w:r w:rsidRPr="00E212D5">
        <w:rPr>
          <w:sz w:val="22"/>
          <w:szCs w:val="22"/>
        </w:rPr>
        <w:t xml:space="preserve"> públicos do Estado, seu regime jurídico, provimento de cargos, estabilidade e aposentadoria de civis, reforma e transferência de militares para a </w:t>
      </w:r>
      <w:r w:rsidRPr="00E212D5">
        <w:rPr>
          <w:b/>
          <w:sz w:val="22"/>
          <w:szCs w:val="22"/>
          <w:u w:val="single"/>
        </w:rPr>
        <w:t>inatividade;</w:t>
      </w:r>
    </w:p>
    <w:p w14:paraId="0B65EED3" w14:textId="77777777" w:rsidR="00114D98" w:rsidRPr="00E212D5" w:rsidRDefault="00114D98" w:rsidP="00114D98">
      <w:pPr>
        <w:pStyle w:val="p32"/>
        <w:tabs>
          <w:tab w:val="clear" w:pos="860"/>
          <w:tab w:val="left" w:pos="720"/>
        </w:tabs>
        <w:spacing w:line="240" w:lineRule="auto"/>
        <w:ind w:left="2340" w:firstLine="0"/>
        <w:rPr>
          <w:b/>
          <w:sz w:val="22"/>
          <w:szCs w:val="22"/>
          <w:u w:val="single"/>
        </w:rPr>
      </w:pPr>
      <w:r w:rsidRPr="00E212D5">
        <w:rPr>
          <w:b/>
          <w:sz w:val="22"/>
          <w:szCs w:val="22"/>
          <w:u w:val="single"/>
        </w:rPr>
        <w:t xml:space="preserve">V- </w:t>
      </w:r>
      <w:proofErr w:type="gramStart"/>
      <w:r w:rsidRPr="00E212D5">
        <w:rPr>
          <w:b/>
          <w:sz w:val="22"/>
          <w:szCs w:val="22"/>
          <w:u w:val="single"/>
        </w:rPr>
        <w:t>criação, estruturação e atribuições</w:t>
      </w:r>
      <w:proofErr w:type="gramEnd"/>
      <w:r w:rsidRPr="00E212D5">
        <w:rPr>
          <w:b/>
          <w:sz w:val="22"/>
          <w:szCs w:val="22"/>
          <w:u w:val="single"/>
        </w:rPr>
        <w:t xml:space="preserve"> das Secretarias de Estado ou órgãos equivalentes e outros órgãos da administração pública esta</w:t>
      </w:r>
      <w:r w:rsidRPr="00E212D5">
        <w:rPr>
          <w:b/>
          <w:sz w:val="22"/>
          <w:szCs w:val="22"/>
          <w:u w:val="single"/>
        </w:rPr>
        <w:softHyphen/>
        <w:t>dual.</w:t>
      </w:r>
    </w:p>
    <w:p w14:paraId="6087BF5C" w14:textId="77777777" w:rsidR="00114D98" w:rsidRPr="00E212D5" w:rsidRDefault="00114D98" w:rsidP="00114D98">
      <w:pPr>
        <w:pStyle w:val="Recuodecorpodetexto"/>
        <w:spacing w:line="240" w:lineRule="auto"/>
        <w:rPr>
          <w:rFonts w:ascii="Times New Roman" w:hAnsi="Times New Roman" w:cs="Times New Roman"/>
          <w:sz w:val="22"/>
          <w:szCs w:val="22"/>
        </w:rPr>
      </w:pPr>
    </w:p>
    <w:p w14:paraId="52C51ACA" w14:textId="77777777" w:rsidR="00114D98" w:rsidRPr="00E212D5" w:rsidRDefault="00114D98" w:rsidP="00E212D5">
      <w:pPr>
        <w:pStyle w:val="Recuodecorpodetexto"/>
        <w:ind w:firstLine="1134"/>
        <w:rPr>
          <w:rFonts w:ascii="Times New Roman" w:hAnsi="Times New Roman" w:cs="Times New Roman"/>
          <w:sz w:val="22"/>
          <w:szCs w:val="22"/>
        </w:rPr>
      </w:pPr>
      <w:r w:rsidRPr="00E212D5">
        <w:rPr>
          <w:rFonts w:ascii="Times New Roman" w:hAnsi="Times New Roman" w:cs="Times New Roman"/>
          <w:sz w:val="22"/>
          <w:szCs w:val="22"/>
        </w:rPr>
        <w:t xml:space="preserve">Assim sendo, não cabe ao Legislativo Estadual a competência para dispor sobre as responsabilidades e/ou atribuições de entidades públicas. </w:t>
      </w:r>
    </w:p>
    <w:p w14:paraId="2190BA59" w14:textId="77777777" w:rsidR="00C402B6" w:rsidRDefault="00C402B6" w:rsidP="00E212D5">
      <w:pPr>
        <w:pStyle w:val="Recuodecorpodetexto"/>
        <w:ind w:firstLine="1134"/>
        <w:rPr>
          <w:rFonts w:ascii="Times New Roman" w:hAnsi="Times New Roman" w:cs="Times New Roman"/>
          <w:sz w:val="22"/>
          <w:szCs w:val="22"/>
        </w:rPr>
      </w:pPr>
    </w:p>
    <w:p w14:paraId="4B7ADF68" w14:textId="77777777" w:rsidR="00C402B6" w:rsidRDefault="00C402B6" w:rsidP="00E212D5">
      <w:pPr>
        <w:pStyle w:val="Recuodecorpodetexto"/>
        <w:ind w:firstLine="1134"/>
        <w:rPr>
          <w:rFonts w:ascii="Times New Roman" w:hAnsi="Times New Roman" w:cs="Times New Roman"/>
          <w:sz w:val="22"/>
          <w:szCs w:val="22"/>
        </w:rPr>
      </w:pPr>
    </w:p>
    <w:p w14:paraId="6EA1A693" w14:textId="43D963EF" w:rsidR="00114D98" w:rsidRDefault="00114D98" w:rsidP="00E212D5">
      <w:pPr>
        <w:pStyle w:val="Recuodecorpodetexto"/>
        <w:ind w:firstLine="1134"/>
        <w:rPr>
          <w:rFonts w:ascii="Times New Roman" w:hAnsi="Times New Roman" w:cs="Times New Roman"/>
          <w:sz w:val="22"/>
          <w:szCs w:val="22"/>
        </w:rPr>
      </w:pPr>
      <w:r w:rsidRPr="00E212D5">
        <w:rPr>
          <w:rFonts w:ascii="Times New Roman" w:hAnsi="Times New Roman" w:cs="Times New Roman"/>
          <w:sz w:val="22"/>
          <w:szCs w:val="22"/>
        </w:rPr>
        <w:lastRenderedPageBreak/>
        <w:t>Nos termos que a proposição se apresenta há uma ingerência de um Poder sobre o outro, porquanto procura atribuir competência/atribuições a órgãos públicos</w:t>
      </w:r>
      <w:r w:rsidR="00FD361E" w:rsidRPr="00E212D5">
        <w:rPr>
          <w:rFonts w:ascii="Times New Roman" w:hAnsi="Times New Roman" w:cs="Times New Roman"/>
          <w:sz w:val="22"/>
          <w:szCs w:val="22"/>
        </w:rPr>
        <w:t xml:space="preserve"> do Poder Executivo</w:t>
      </w:r>
      <w:r w:rsidRPr="00E212D5">
        <w:rPr>
          <w:rFonts w:ascii="Times New Roman" w:hAnsi="Times New Roman" w:cs="Times New Roman"/>
          <w:sz w:val="22"/>
          <w:szCs w:val="22"/>
        </w:rPr>
        <w:t xml:space="preserve">.  </w:t>
      </w:r>
    </w:p>
    <w:p w14:paraId="3F97DA5E" w14:textId="60312780" w:rsidR="00C402B6" w:rsidRDefault="00C402B6" w:rsidP="00C402B6">
      <w:pPr>
        <w:spacing w:line="360" w:lineRule="auto"/>
        <w:ind w:firstLine="1134"/>
        <w:jc w:val="both"/>
      </w:pPr>
      <w:r w:rsidRPr="00617F1D">
        <w:t xml:space="preserve">É pacífico o entendimento por nossos Tribunais que a instituição de Programas e Políticas Públicas a serem executados pelos órgãos da Administração Pública, principalmente pelas Secretarias de Estado são de competência do Poder Executivo. </w:t>
      </w:r>
    </w:p>
    <w:p w14:paraId="5203D8C9" w14:textId="77777777" w:rsidR="00C402B6" w:rsidRPr="00617F1D" w:rsidRDefault="00C402B6" w:rsidP="00C402B6">
      <w:pPr>
        <w:pStyle w:val="p32"/>
        <w:tabs>
          <w:tab w:val="clear" w:pos="860"/>
          <w:tab w:val="left" w:pos="0"/>
        </w:tabs>
        <w:spacing w:line="360" w:lineRule="auto"/>
        <w:ind w:left="0" w:firstLine="1134"/>
        <w:rPr>
          <w:szCs w:val="24"/>
        </w:rPr>
      </w:pPr>
      <w:r w:rsidRPr="00617F1D">
        <w:rPr>
          <w:szCs w:val="24"/>
        </w:rPr>
        <w:t xml:space="preserve">Neste diapasão, vale aqui citar o entendimento esposado pelo Supremo Tribunal Federal, </w:t>
      </w:r>
      <w:r w:rsidRPr="00617F1D">
        <w:rPr>
          <w:i/>
          <w:szCs w:val="24"/>
        </w:rPr>
        <w:t xml:space="preserve">in </w:t>
      </w:r>
      <w:proofErr w:type="spellStart"/>
      <w:r w:rsidRPr="00617F1D">
        <w:rPr>
          <w:i/>
          <w:szCs w:val="24"/>
        </w:rPr>
        <w:t>verbis</w:t>
      </w:r>
      <w:proofErr w:type="spellEnd"/>
      <w:r w:rsidRPr="00617F1D">
        <w:rPr>
          <w:szCs w:val="24"/>
        </w:rPr>
        <w:t>:</w:t>
      </w:r>
    </w:p>
    <w:p w14:paraId="78A075A7" w14:textId="77777777" w:rsidR="00C402B6" w:rsidRPr="00617F1D" w:rsidRDefault="00C402B6" w:rsidP="00C402B6">
      <w:pPr>
        <w:pStyle w:val="p32"/>
        <w:tabs>
          <w:tab w:val="clear" w:pos="860"/>
          <w:tab w:val="left" w:pos="0"/>
        </w:tabs>
        <w:spacing w:line="240" w:lineRule="auto"/>
        <w:ind w:left="0" w:firstLine="2342"/>
        <w:rPr>
          <w:szCs w:val="24"/>
        </w:rPr>
      </w:pPr>
    </w:p>
    <w:p w14:paraId="3ECE7151" w14:textId="77777777" w:rsidR="00C402B6" w:rsidRPr="00617F1D" w:rsidRDefault="00C402B6" w:rsidP="00C402B6">
      <w:pPr>
        <w:ind w:left="2340"/>
        <w:jc w:val="both"/>
        <w:rPr>
          <w:b/>
          <w:bCs/>
        </w:rPr>
      </w:pPr>
      <w:r w:rsidRPr="00617F1D">
        <w:rPr>
          <w:rStyle w:val="Forte"/>
        </w:rPr>
        <w:t xml:space="preserve">“ADI 3178 / AP </w:t>
      </w:r>
      <w:r w:rsidRPr="00617F1D">
        <w:rPr>
          <w:b/>
          <w:bCs/>
        </w:rPr>
        <w:t>Ação direta de inconstitucionalidade. 2. Lei do Estado do Amapá. 3. Organização, estrutura e atribuições de Secretaria Estadual. Matéria de iniciativa privativa do Chefe do Poder Executivo. Precedentes. 4. Exigência de consignação de dotação orçamentária para execução da lei. Matéria de iniciativa do Poder Executivo. Precedentes. 5. Ação julgada procedente.”</w:t>
      </w:r>
    </w:p>
    <w:p w14:paraId="31E91C9E" w14:textId="77777777" w:rsidR="00C402B6" w:rsidRPr="00617F1D" w:rsidRDefault="00C402B6" w:rsidP="00C402B6">
      <w:pPr>
        <w:ind w:left="2340"/>
        <w:jc w:val="both"/>
        <w:rPr>
          <w:b/>
          <w:bCs/>
        </w:rPr>
      </w:pPr>
      <w:r w:rsidRPr="00617F1D">
        <w:rPr>
          <w:rStyle w:val="Forte"/>
        </w:rPr>
        <w:t xml:space="preserve">“ADI 2808 / RS </w:t>
      </w:r>
      <w:r w:rsidRPr="00617F1D">
        <w:rPr>
          <w:b/>
          <w:bCs/>
        </w:rPr>
        <w:t xml:space="preserve">Ação Direta de Inconstitucionalidade. 2. Lei Do Estado do Rio Grande do Sul. Instituição do </w:t>
      </w:r>
      <w:proofErr w:type="spellStart"/>
      <w:r w:rsidRPr="00617F1D">
        <w:rPr>
          <w:b/>
          <w:bCs/>
        </w:rPr>
        <w:t>Pólo</w:t>
      </w:r>
      <w:proofErr w:type="spellEnd"/>
      <w:r w:rsidRPr="00617F1D">
        <w:rPr>
          <w:b/>
          <w:bCs/>
        </w:rPr>
        <w:t xml:space="preserve"> Estadual da Música Erudita. 3. Estrutura e atribuições de órgãos e Secretarias da Administração Pública. 4. Matéria de iniciativa privativa do Chefe do Poder Executivo. 5. Precedentes. 6. Exigência de consignação de dotação orçamentária para execução da lei. 7. Matéria de iniciativa do Poder Executivo. 8. Ação julgada procedente.”</w:t>
      </w:r>
    </w:p>
    <w:p w14:paraId="0E775B19" w14:textId="77777777" w:rsidR="00C402B6" w:rsidRPr="00617F1D" w:rsidRDefault="00C402B6" w:rsidP="00C402B6">
      <w:pPr>
        <w:ind w:left="2340"/>
        <w:jc w:val="both"/>
      </w:pPr>
      <w:r w:rsidRPr="00617F1D">
        <w:rPr>
          <w:rStyle w:val="Forte"/>
        </w:rPr>
        <w:t xml:space="preserve">“ADI-MC 2799 / RS </w:t>
      </w:r>
      <w:r w:rsidRPr="00617F1D">
        <w:rPr>
          <w:b/>
          <w:bCs/>
        </w:rPr>
        <w:t xml:space="preserve">CONTROLE CONCENTRADO DE CONSTITUCIONALIDADE - LIMINAR. Há o sinal do bom direito e o risco de manter-se com plena eficácia o quadro quando o </w:t>
      </w:r>
      <w:r w:rsidRPr="00617F1D">
        <w:rPr>
          <w:b/>
          <w:bCs/>
          <w:i/>
        </w:rPr>
        <w:t>diploma atacado resultou de iniciativa parlamentar e veio a disciplinar programa de desenvolvimento estadual</w:t>
      </w:r>
      <w:r w:rsidRPr="00617F1D">
        <w:rPr>
          <w:b/>
          <w:bCs/>
        </w:rPr>
        <w:t xml:space="preserve"> - </w:t>
      </w:r>
      <w:r w:rsidRPr="00617F1D">
        <w:rPr>
          <w:b/>
          <w:bCs/>
          <w:i/>
        </w:rPr>
        <w:t>submetendo-o à Secretaria de Estado - a dispor sobre a estrutura funcional pertinente</w:t>
      </w:r>
      <w:r w:rsidRPr="00617F1D">
        <w:rPr>
          <w:b/>
          <w:bCs/>
        </w:rPr>
        <w:t>. Segundo a Carta da República, incumbe ao chefe do Poder Executivo deflagrar o processo legislativo que envolva órgão da Administração Pública - alínea "e" do § 1º do artigo 61 da Constituição Federal.” (o grifo é nosso)</w:t>
      </w:r>
    </w:p>
    <w:p w14:paraId="63163310" w14:textId="77777777" w:rsidR="00C402B6" w:rsidRDefault="00C402B6" w:rsidP="00C402B6">
      <w:pPr>
        <w:spacing w:line="360" w:lineRule="auto"/>
        <w:ind w:firstLine="1134"/>
        <w:jc w:val="both"/>
      </w:pPr>
    </w:p>
    <w:p w14:paraId="72F6059E" w14:textId="77777777" w:rsidR="00C402B6" w:rsidRDefault="00C402B6" w:rsidP="00C402B6">
      <w:pPr>
        <w:spacing w:line="360" w:lineRule="auto"/>
        <w:ind w:firstLine="1134"/>
        <w:jc w:val="both"/>
      </w:pPr>
    </w:p>
    <w:p w14:paraId="40A51458" w14:textId="63427755" w:rsidR="00C402B6" w:rsidRPr="00617F1D" w:rsidRDefault="00C402B6" w:rsidP="00C402B6">
      <w:pPr>
        <w:spacing w:line="360" w:lineRule="auto"/>
        <w:ind w:firstLine="1134"/>
        <w:jc w:val="both"/>
      </w:pPr>
      <w:r w:rsidRPr="00617F1D">
        <w:lastRenderedPageBreak/>
        <w:t xml:space="preserve">Destaca-se que a responsabilidade em regulamentar, fiscalizar, planejar e programar é do Poder Executivo, dentro </w:t>
      </w:r>
      <w:r w:rsidRPr="00617F1D">
        <w:rPr>
          <w:b/>
          <w:u w:val="single"/>
        </w:rPr>
        <w:t>o que chamamos de reserva de administração</w:t>
      </w:r>
      <w:r w:rsidRPr="00617F1D">
        <w:rPr>
          <w:b/>
        </w:rPr>
        <w:t>, corolário da separação dos poderes, que são matérias eminentemente administrativas que não comporta a ingerência do Poder Legislativo.</w:t>
      </w:r>
      <w:r w:rsidRPr="00617F1D">
        <w:t xml:space="preserve"> Neste sentido, vejamos o que diz o Supremo Tribunal Federal:</w:t>
      </w:r>
    </w:p>
    <w:p w14:paraId="5EFE885E" w14:textId="77777777" w:rsidR="00C402B6" w:rsidRPr="00617F1D" w:rsidRDefault="00C402B6" w:rsidP="00C402B6">
      <w:pPr>
        <w:shd w:val="clear" w:color="auto" w:fill="FFFFFF"/>
        <w:ind w:left="2268"/>
        <w:jc w:val="both"/>
        <w:textAlignment w:val="top"/>
        <w:rPr>
          <w:color w:val="000000"/>
          <w:shd w:val="clear" w:color="auto" w:fill="FFFFFF"/>
        </w:rPr>
      </w:pPr>
      <w:r w:rsidRPr="00617F1D">
        <w:rPr>
          <w:color w:val="000000"/>
        </w:rPr>
        <w:t>“</w:t>
      </w:r>
      <w:r w:rsidRPr="00617F1D">
        <w:rPr>
          <w:b/>
          <w:color w:val="000000"/>
        </w:rPr>
        <w:t>O princípio constitucional da reserva de administração impede a ingerência normativa do Poder Legislativo</w:t>
      </w:r>
      <w:r w:rsidRPr="00617F1D">
        <w:rPr>
          <w:color w:val="000000"/>
        </w:rPr>
        <w:t xml:space="preserve"> em matérias sujeitas à exclusiva competência administrativa do Poder Executivo. É que, em tais matérias, o Legislativo não se qualifica como instância de revisão dos atos administrativos emanados do Poder Executivo. </w:t>
      </w:r>
      <w:proofErr w:type="gramStart"/>
      <w:r w:rsidRPr="00617F1D">
        <w:rPr>
          <w:color w:val="000000"/>
        </w:rPr>
        <w:t>(...)  Não</w:t>
      </w:r>
      <w:proofErr w:type="gramEnd"/>
      <w:r w:rsidRPr="00617F1D">
        <w:rPr>
          <w:color w:val="000000"/>
        </w:rPr>
        <w:t xml:space="preserve"> cabe, desse modo, ao Poder Legislativo, sob pena de grave desrespeito ao postulado da separação de poderes, desconstituir, por lei, atos de caráter administrativo que tenham sido editados pelo Poder Executivo, no estrito desempenho de suas privativas atribuições institucionais. Essa prática legislativa, quando efetivada, subverte a função primária da lei, </w:t>
      </w:r>
      <w:proofErr w:type="spellStart"/>
      <w:r w:rsidRPr="00617F1D">
        <w:rPr>
          <w:color w:val="000000"/>
        </w:rPr>
        <w:t>transgride</w:t>
      </w:r>
      <w:proofErr w:type="spellEnd"/>
      <w:r w:rsidRPr="00617F1D">
        <w:rPr>
          <w:color w:val="000000"/>
        </w:rPr>
        <w:t xml:space="preserve"> o princípio da divisão funcional do poder, representa comportamento heterodoxo da instituição parlamentar e importa em atuação </w:t>
      </w:r>
      <w:r w:rsidRPr="00617F1D">
        <w:rPr>
          <w:i/>
          <w:iCs/>
          <w:color w:val="000000"/>
        </w:rPr>
        <w:t>ultra vires </w:t>
      </w:r>
      <w:r w:rsidRPr="00617F1D">
        <w:rPr>
          <w:color w:val="000000"/>
        </w:rPr>
        <w:t xml:space="preserve">do Poder Legislativo, que não pode, em sua atuação político-jurídica, exorbitar dos limites que definem o exercício de suas prerrogativas institucionais. </w:t>
      </w:r>
      <w:r w:rsidRPr="00617F1D">
        <w:rPr>
          <w:color w:val="000000"/>
          <w:shd w:val="clear" w:color="auto" w:fill="FFFFFF"/>
        </w:rPr>
        <w:t>[</w:t>
      </w:r>
      <w:hyperlink r:id="rId8" w:history="1">
        <w:r w:rsidRPr="00617F1D">
          <w:rPr>
            <w:b/>
            <w:bCs/>
            <w:color w:val="000000"/>
            <w:shd w:val="clear" w:color="auto" w:fill="FFFFFF"/>
          </w:rPr>
          <w:t>RE 427.574 ED</w:t>
        </w:r>
      </w:hyperlink>
      <w:r w:rsidRPr="00617F1D">
        <w:rPr>
          <w:color w:val="000000"/>
          <w:shd w:val="clear" w:color="auto" w:fill="FFFFFF"/>
        </w:rPr>
        <w:t>, rel. min. </w:t>
      </w:r>
      <w:r w:rsidRPr="00617F1D">
        <w:rPr>
          <w:b/>
          <w:bCs/>
          <w:color w:val="000000"/>
          <w:shd w:val="clear" w:color="auto" w:fill="FFFFFF"/>
        </w:rPr>
        <w:t>Celso de Mello</w:t>
      </w:r>
      <w:r w:rsidRPr="00617F1D">
        <w:rPr>
          <w:color w:val="000000"/>
          <w:shd w:val="clear" w:color="auto" w:fill="FFFFFF"/>
        </w:rPr>
        <w:t>, j. 13-12-2011, 2ª T, </w:t>
      </w:r>
      <w:r w:rsidRPr="00617F1D">
        <w:rPr>
          <w:i/>
          <w:iCs/>
          <w:color w:val="000000"/>
          <w:shd w:val="clear" w:color="auto" w:fill="FFFFFF"/>
        </w:rPr>
        <w:t>DJE </w:t>
      </w:r>
      <w:r w:rsidRPr="00617F1D">
        <w:rPr>
          <w:color w:val="000000"/>
          <w:shd w:val="clear" w:color="auto" w:fill="FFFFFF"/>
        </w:rPr>
        <w:t>de 13-2-2012.”</w:t>
      </w:r>
    </w:p>
    <w:p w14:paraId="7011A467" w14:textId="77777777" w:rsidR="00C402B6" w:rsidRPr="00617F1D" w:rsidRDefault="00C402B6" w:rsidP="00C402B6">
      <w:pPr>
        <w:shd w:val="clear" w:color="auto" w:fill="FFFFFF"/>
        <w:ind w:left="2268"/>
        <w:jc w:val="both"/>
        <w:textAlignment w:val="top"/>
        <w:rPr>
          <w:color w:val="000000"/>
          <w:shd w:val="clear" w:color="auto" w:fill="FFFFFF"/>
        </w:rPr>
      </w:pPr>
      <w:r w:rsidRPr="00617F1D">
        <w:rPr>
          <w:color w:val="000000"/>
        </w:rPr>
        <w:t xml:space="preserve">“Ofende a denominada </w:t>
      </w:r>
      <w:r w:rsidRPr="00617F1D">
        <w:rPr>
          <w:b/>
          <w:color w:val="000000"/>
        </w:rPr>
        <w:t>reserva de administração</w:t>
      </w:r>
      <w:r w:rsidRPr="00617F1D">
        <w:rPr>
          <w:color w:val="000000"/>
        </w:rPr>
        <w:t xml:space="preserve">, </w:t>
      </w:r>
      <w:r w:rsidRPr="00617F1D">
        <w:rPr>
          <w:b/>
          <w:color w:val="000000"/>
        </w:rPr>
        <w:t>decorrência do conteúdo nuclear do princípio da separação de poderes</w:t>
      </w:r>
      <w:r w:rsidRPr="00617F1D">
        <w:rPr>
          <w:color w:val="000000"/>
        </w:rPr>
        <w:t xml:space="preserve"> (CF, art. 2º), a proibição de cobrança de tarifa de assinatura básica no que concerne aos serviços de água e gás, em grande medida submetidos também à incidência de leis federais (CF, art. 22, IV), mormente quando constante de ato normativo emanado do Poder Legislativo fruto de iniciativa parlamentar, porquanto supressora da margem de apreciação do chefe do Poder Executivo distrital na condução da administração pública, no que se inclui a formulação da política pública remuneratória do serviço público. </w:t>
      </w:r>
      <w:r w:rsidRPr="00617F1D">
        <w:rPr>
          <w:color w:val="000000"/>
          <w:shd w:val="clear" w:color="auto" w:fill="FFFFFF"/>
        </w:rPr>
        <w:t>[</w:t>
      </w:r>
      <w:hyperlink r:id="rId9" w:history="1">
        <w:r w:rsidRPr="00617F1D">
          <w:rPr>
            <w:b/>
            <w:bCs/>
            <w:color w:val="000000"/>
            <w:shd w:val="clear" w:color="auto" w:fill="FFFFFF"/>
          </w:rPr>
          <w:t>ADI 3.343</w:t>
        </w:r>
      </w:hyperlink>
      <w:r w:rsidRPr="00617F1D">
        <w:rPr>
          <w:color w:val="000000"/>
          <w:shd w:val="clear" w:color="auto" w:fill="FFFFFF"/>
        </w:rPr>
        <w:t>, rel. p/ o ac. min. </w:t>
      </w:r>
      <w:r w:rsidRPr="00617F1D">
        <w:rPr>
          <w:b/>
          <w:bCs/>
          <w:color w:val="000000"/>
          <w:shd w:val="clear" w:color="auto" w:fill="FFFFFF"/>
        </w:rPr>
        <w:t xml:space="preserve">Luiz </w:t>
      </w:r>
      <w:proofErr w:type="spellStart"/>
      <w:r w:rsidRPr="00617F1D">
        <w:rPr>
          <w:b/>
          <w:bCs/>
          <w:color w:val="000000"/>
          <w:shd w:val="clear" w:color="auto" w:fill="FFFFFF"/>
        </w:rPr>
        <w:t>Fux</w:t>
      </w:r>
      <w:proofErr w:type="spellEnd"/>
      <w:r w:rsidRPr="00617F1D">
        <w:rPr>
          <w:color w:val="000000"/>
          <w:shd w:val="clear" w:color="auto" w:fill="FFFFFF"/>
        </w:rPr>
        <w:t>, j. 1º-9-2011, P, </w:t>
      </w:r>
      <w:r w:rsidRPr="00617F1D">
        <w:rPr>
          <w:i/>
          <w:iCs/>
          <w:color w:val="000000"/>
          <w:shd w:val="clear" w:color="auto" w:fill="FFFFFF"/>
        </w:rPr>
        <w:t>DJE </w:t>
      </w:r>
      <w:r w:rsidRPr="00617F1D">
        <w:rPr>
          <w:color w:val="000000"/>
          <w:shd w:val="clear" w:color="auto" w:fill="FFFFFF"/>
        </w:rPr>
        <w:t>de 22-11-2011.].”</w:t>
      </w:r>
    </w:p>
    <w:p w14:paraId="08E72A4B" w14:textId="77777777" w:rsidR="00C402B6" w:rsidRDefault="00C402B6" w:rsidP="00C402B6">
      <w:pPr>
        <w:widowControl w:val="0"/>
        <w:autoSpaceDE w:val="0"/>
        <w:autoSpaceDN w:val="0"/>
        <w:adjustRightInd w:val="0"/>
        <w:spacing w:line="393" w:lineRule="exact"/>
        <w:ind w:right="96" w:firstLine="1134"/>
        <w:jc w:val="both"/>
      </w:pPr>
      <w:r w:rsidRPr="00617F1D">
        <w:t xml:space="preserve">Nessa linha de raciocínio, a proposição, em análise, viola o princípio da separação entre os poderes, bem como o princípio da reserva de iniciativa, </w:t>
      </w:r>
      <w:r w:rsidRPr="00617F1D">
        <w:rPr>
          <w:b/>
        </w:rPr>
        <w:t>padecendo assim de inconstitucionalidade formal subjetiva</w:t>
      </w:r>
      <w:r w:rsidRPr="00617F1D">
        <w:t>.</w:t>
      </w:r>
    </w:p>
    <w:p w14:paraId="274E3A5E" w14:textId="77777777" w:rsidR="00C402B6" w:rsidRPr="00617F1D" w:rsidRDefault="00C402B6" w:rsidP="00C402B6">
      <w:pPr>
        <w:autoSpaceDE w:val="0"/>
        <w:autoSpaceDN w:val="0"/>
        <w:adjustRightInd w:val="0"/>
        <w:spacing w:line="360" w:lineRule="auto"/>
        <w:ind w:firstLine="1134"/>
        <w:jc w:val="both"/>
        <w:rPr>
          <w:color w:val="000000"/>
        </w:rPr>
      </w:pPr>
      <w:r>
        <w:rPr>
          <w:color w:val="000000"/>
        </w:rPr>
        <w:lastRenderedPageBreak/>
        <w:t>Outrossim</w:t>
      </w:r>
      <w:r w:rsidRPr="00617F1D">
        <w:rPr>
          <w:color w:val="000000"/>
        </w:rPr>
        <w:t>, as balizas para a verificação da constitucionalidade da iniciativa parlamentar podem ser apontadas como a autonomia do Poder Executivo (isto é, o Legislativo não pode invadir o espaço de autoadministração dos órgãos da soberania) e o próprio desempenho da função administrativa, exercido de forma típica pelo Executivo.</w:t>
      </w:r>
    </w:p>
    <w:p w14:paraId="369E9C9E" w14:textId="2DEA1254" w:rsidR="00C402B6" w:rsidRDefault="007262D4" w:rsidP="00E212D5">
      <w:pPr>
        <w:pStyle w:val="Recuodecorpodetexto"/>
        <w:ind w:firstLine="1134"/>
        <w:rPr>
          <w:rFonts w:ascii="Times New Roman" w:hAnsi="Times New Roman" w:cs="Times New Roman"/>
          <w:sz w:val="22"/>
          <w:szCs w:val="22"/>
        </w:rPr>
      </w:pPr>
      <w:r w:rsidRPr="007262D4">
        <w:rPr>
          <w:rFonts w:ascii="Times New Roman" w:hAnsi="Times New Roman" w:cs="Times New Roman"/>
          <w:sz w:val="22"/>
          <w:szCs w:val="22"/>
        </w:rPr>
        <w:t>Entretanto, a fim de aperfeiçoar a proposição de lei, sugerimos que determinados dispositivos que implicam em ingerência às atribuições do Poder Executivo ou que dificultam a aplicabilidade do seu objetivo, sejam reparados para enquadrar-se nas normas do processo legislativo, o que somos pela sua aprovação na forma de substitutivo.</w:t>
      </w:r>
    </w:p>
    <w:p w14:paraId="2476334A" w14:textId="77777777" w:rsidR="00E212D5" w:rsidRPr="00E212D5" w:rsidRDefault="00E212D5" w:rsidP="00E212D5">
      <w:pPr>
        <w:spacing w:line="360" w:lineRule="auto"/>
        <w:jc w:val="both"/>
        <w:rPr>
          <w:rFonts w:ascii="Times New Roman" w:hAnsi="Times New Roman" w:cs="Times New Roman"/>
        </w:rPr>
      </w:pPr>
      <w:r w:rsidRPr="00E212D5">
        <w:rPr>
          <w:rFonts w:ascii="Times New Roman" w:hAnsi="Times New Roman" w:cs="Times New Roman"/>
          <w:b/>
          <w:u w:val="single"/>
        </w:rPr>
        <w:t>VOTO DO RELATOR:</w:t>
      </w:r>
    </w:p>
    <w:p w14:paraId="73A76F2E" w14:textId="60667127" w:rsidR="002F4256" w:rsidRPr="002F4256" w:rsidRDefault="002F4256" w:rsidP="002F4256">
      <w:pPr>
        <w:pStyle w:val="Recuodecorpodetexto"/>
        <w:ind w:firstLine="1134"/>
        <w:rPr>
          <w:rFonts w:ascii="Times New Roman" w:hAnsi="Times New Roman" w:cs="Times New Roman"/>
          <w:sz w:val="22"/>
          <w:szCs w:val="22"/>
        </w:rPr>
      </w:pPr>
      <w:r w:rsidRPr="002F4256">
        <w:rPr>
          <w:rFonts w:ascii="Times New Roman" w:hAnsi="Times New Roman" w:cs="Times New Roman"/>
          <w:sz w:val="22"/>
          <w:szCs w:val="22"/>
        </w:rPr>
        <w:t xml:space="preserve">Em face do exposto, opinamos favoravelmente pela aprovação do Projeto de Lei </w:t>
      </w:r>
      <w:r>
        <w:rPr>
          <w:rFonts w:ascii="Times New Roman" w:hAnsi="Times New Roman" w:cs="Times New Roman"/>
          <w:sz w:val="22"/>
          <w:szCs w:val="22"/>
        </w:rPr>
        <w:t xml:space="preserve">                  </w:t>
      </w:r>
      <w:r w:rsidRPr="002F4256">
        <w:rPr>
          <w:rFonts w:ascii="Times New Roman" w:hAnsi="Times New Roman" w:cs="Times New Roman"/>
          <w:sz w:val="22"/>
          <w:szCs w:val="22"/>
        </w:rPr>
        <w:t xml:space="preserve">nº </w:t>
      </w:r>
      <w:r>
        <w:rPr>
          <w:rFonts w:ascii="Times New Roman" w:hAnsi="Times New Roman" w:cs="Times New Roman"/>
          <w:sz w:val="22"/>
          <w:szCs w:val="22"/>
        </w:rPr>
        <w:t>109</w:t>
      </w:r>
      <w:r w:rsidRPr="002F4256">
        <w:rPr>
          <w:rFonts w:ascii="Times New Roman" w:hAnsi="Times New Roman" w:cs="Times New Roman"/>
          <w:sz w:val="22"/>
          <w:szCs w:val="22"/>
        </w:rPr>
        <w:t>/201</w:t>
      </w:r>
      <w:r>
        <w:rPr>
          <w:rFonts w:ascii="Times New Roman" w:hAnsi="Times New Roman" w:cs="Times New Roman"/>
          <w:sz w:val="22"/>
          <w:szCs w:val="22"/>
        </w:rPr>
        <w:t>9</w:t>
      </w:r>
      <w:r w:rsidRPr="002F4256">
        <w:rPr>
          <w:rFonts w:ascii="Times New Roman" w:hAnsi="Times New Roman" w:cs="Times New Roman"/>
          <w:sz w:val="22"/>
          <w:szCs w:val="22"/>
        </w:rPr>
        <w:t>, na forma do substitutivo, em anexo a este Parecer.</w:t>
      </w:r>
    </w:p>
    <w:p w14:paraId="79613A62" w14:textId="77777777" w:rsidR="002F4256" w:rsidRPr="002F4256" w:rsidRDefault="002F4256" w:rsidP="002F4256">
      <w:pPr>
        <w:pStyle w:val="Recuodecorpodetexto"/>
        <w:ind w:firstLine="1134"/>
        <w:rPr>
          <w:rFonts w:ascii="Times New Roman" w:hAnsi="Times New Roman" w:cs="Times New Roman"/>
          <w:sz w:val="22"/>
          <w:szCs w:val="22"/>
        </w:rPr>
      </w:pPr>
      <w:r w:rsidRPr="002F4256">
        <w:rPr>
          <w:rFonts w:ascii="Times New Roman" w:hAnsi="Times New Roman" w:cs="Times New Roman"/>
          <w:sz w:val="22"/>
          <w:szCs w:val="22"/>
        </w:rPr>
        <w:t>É o voto.</w:t>
      </w:r>
    </w:p>
    <w:p w14:paraId="29AEA03C" w14:textId="77777777" w:rsidR="00E212D5" w:rsidRPr="00E212D5" w:rsidRDefault="00E212D5" w:rsidP="00E212D5">
      <w:pPr>
        <w:jc w:val="both"/>
        <w:rPr>
          <w:rFonts w:ascii="Times New Roman" w:hAnsi="Times New Roman" w:cs="Times New Roman"/>
          <w:b/>
          <w:u w:val="single"/>
        </w:rPr>
      </w:pPr>
      <w:r w:rsidRPr="00E212D5">
        <w:rPr>
          <w:rFonts w:ascii="Times New Roman" w:hAnsi="Times New Roman" w:cs="Times New Roman"/>
          <w:b/>
          <w:u w:val="single"/>
        </w:rPr>
        <w:t>PARECER DA COMISSÃO:</w:t>
      </w:r>
    </w:p>
    <w:p w14:paraId="2B45F8B0" w14:textId="10CA0EB5" w:rsidR="00E212D5" w:rsidRPr="00E212D5" w:rsidRDefault="00E212D5" w:rsidP="00E212D5">
      <w:pPr>
        <w:spacing w:line="360" w:lineRule="auto"/>
        <w:ind w:firstLine="1134"/>
        <w:jc w:val="both"/>
        <w:rPr>
          <w:rFonts w:ascii="Times New Roman" w:hAnsi="Times New Roman" w:cs="Times New Roman"/>
        </w:rPr>
      </w:pPr>
      <w:r w:rsidRPr="00E212D5">
        <w:rPr>
          <w:rFonts w:ascii="Times New Roman" w:hAnsi="Times New Roman" w:cs="Times New Roman"/>
        </w:rPr>
        <w:t xml:space="preserve">Os membros da Comissão de Constituição, Justiça e Cidadania, votam pela </w:t>
      </w:r>
      <w:r w:rsidR="003329A2">
        <w:rPr>
          <w:rFonts w:ascii="Times New Roman" w:hAnsi="Times New Roman" w:cs="Times New Roman"/>
          <w:b/>
        </w:rPr>
        <w:t>aprovação</w:t>
      </w:r>
      <w:r w:rsidRPr="00E212D5">
        <w:rPr>
          <w:rFonts w:ascii="Times New Roman" w:hAnsi="Times New Roman" w:cs="Times New Roman"/>
          <w:b/>
        </w:rPr>
        <w:t xml:space="preserve"> do Projeto de Lei nº 109/2019</w:t>
      </w:r>
      <w:r w:rsidRPr="00E212D5">
        <w:rPr>
          <w:rFonts w:ascii="Times New Roman" w:hAnsi="Times New Roman" w:cs="Times New Roman"/>
        </w:rPr>
        <w:t>, nos termos do voto do Relator.</w:t>
      </w:r>
    </w:p>
    <w:p w14:paraId="36623814" w14:textId="77777777" w:rsidR="00E212D5" w:rsidRPr="00E212D5" w:rsidRDefault="00E212D5" w:rsidP="00E212D5">
      <w:pPr>
        <w:spacing w:line="360" w:lineRule="auto"/>
        <w:ind w:firstLine="1134"/>
        <w:jc w:val="both"/>
        <w:rPr>
          <w:rFonts w:ascii="Times New Roman" w:hAnsi="Times New Roman" w:cs="Times New Roman"/>
        </w:rPr>
      </w:pPr>
      <w:r w:rsidRPr="00E212D5">
        <w:rPr>
          <w:rFonts w:ascii="Times New Roman" w:hAnsi="Times New Roman" w:cs="Times New Roman"/>
        </w:rPr>
        <w:t>É o parecer.</w:t>
      </w:r>
    </w:p>
    <w:p w14:paraId="72D25EAB" w14:textId="77777777" w:rsidR="00C33FFB" w:rsidRDefault="00E212D5" w:rsidP="00C33FFB">
      <w:pPr>
        <w:spacing w:line="360" w:lineRule="auto"/>
        <w:ind w:firstLine="851"/>
        <w:jc w:val="both"/>
        <w:rPr>
          <w:rFonts w:ascii="Times New Roman" w:eastAsia="Calibri" w:hAnsi="Times New Roman" w:cs="Times New Roman"/>
        </w:rPr>
      </w:pPr>
      <w:r w:rsidRPr="00E212D5">
        <w:rPr>
          <w:rFonts w:ascii="Times New Roman" w:eastAsia="Calibri" w:hAnsi="Times New Roman" w:cs="Times New Roman"/>
        </w:rPr>
        <w:t xml:space="preserve">     SALA DAS COMISSÕES “DEPUTADO LÉO FRANKLIM”, em </w:t>
      </w:r>
      <w:r w:rsidR="009C3CEE">
        <w:rPr>
          <w:rFonts w:ascii="Times New Roman" w:eastAsia="Calibri" w:hAnsi="Times New Roman" w:cs="Times New Roman"/>
        </w:rPr>
        <w:t>25</w:t>
      </w:r>
      <w:r w:rsidRPr="00E212D5">
        <w:rPr>
          <w:rFonts w:ascii="Times New Roman" w:eastAsia="Calibri" w:hAnsi="Times New Roman" w:cs="Times New Roman"/>
        </w:rPr>
        <w:t xml:space="preserve"> de </w:t>
      </w:r>
      <w:r>
        <w:rPr>
          <w:rFonts w:ascii="Times New Roman" w:eastAsia="Calibri" w:hAnsi="Times New Roman" w:cs="Times New Roman"/>
        </w:rPr>
        <w:t>abril</w:t>
      </w:r>
      <w:r w:rsidRPr="00E212D5">
        <w:rPr>
          <w:rFonts w:ascii="Times New Roman" w:eastAsia="Calibri" w:hAnsi="Times New Roman" w:cs="Times New Roman"/>
        </w:rPr>
        <w:t xml:space="preserve"> de 2019.    </w:t>
      </w:r>
    </w:p>
    <w:p w14:paraId="4FE36A20" w14:textId="62E7D48F" w:rsidR="00C33FFB" w:rsidRDefault="00E212D5" w:rsidP="00C33FFB">
      <w:pPr>
        <w:spacing w:line="360" w:lineRule="auto"/>
        <w:ind w:firstLine="851"/>
        <w:jc w:val="both"/>
        <w:rPr>
          <w:color w:val="000000"/>
        </w:rPr>
      </w:pPr>
      <w:r w:rsidRPr="00E212D5">
        <w:rPr>
          <w:rFonts w:ascii="Times New Roman" w:eastAsia="Calibri" w:hAnsi="Times New Roman" w:cs="Times New Roman"/>
        </w:rPr>
        <w:t xml:space="preserve"> </w:t>
      </w:r>
      <w:r w:rsidRPr="00E212D5">
        <w:rPr>
          <w:rFonts w:ascii="Times New Roman" w:eastAsia="Calibri" w:hAnsi="Times New Roman" w:cs="Times New Roman"/>
          <w:color w:val="000000"/>
        </w:rPr>
        <w:t xml:space="preserve">                         </w:t>
      </w:r>
      <w:r w:rsidRPr="00E212D5">
        <w:rPr>
          <w:rFonts w:ascii="Times New Roman" w:hAnsi="Times New Roman" w:cs="Times New Roman"/>
          <w:color w:val="000000"/>
        </w:rPr>
        <w:t xml:space="preserve">                              </w:t>
      </w:r>
      <w:r>
        <w:rPr>
          <w:rFonts w:ascii="Times New Roman" w:hAnsi="Times New Roman" w:cs="Times New Roman"/>
          <w:color w:val="000000"/>
        </w:rPr>
        <w:t xml:space="preserve">  </w:t>
      </w:r>
      <w:r w:rsidRPr="00E212D5">
        <w:rPr>
          <w:rFonts w:ascii="Times New Roman" w:hAnsi="Times New Roman" w:cs="Times New Roman"/>
          <w:color w:val="000000"/>
        </w:rPr>
        <w:t xml:space="preserve"> </w:t>
      </w:r>
      <w:r w:rsidR="00C33FFB">
        <w:rPr>
          <w:b/>
          <w:color w:val="000000"/>
        </w:rPr>
        <w:t>Presidente</w:t>
      </w:r>
      <w:r w:rsidR="00C33FFB">
        <w:rPr>
          <w:color w:val="000000"/>
        </w:rPr>
        <w:t xml:space="preserve"> Deputado Neto Evangelista</w:t>
      </w:r>
    </w:p>
    <w:p w14:paraId="011519A7" w14:textId="77777777" w:rsidR="00C33FFB" w:rsidRDefault="00C33FFB" w:rsidP="00C33FFB">
      <w:pPr>
        <w:autoSpaceDE w:val="0"/>
        <w:autoSpaceDN w:val="0"/>
        <w:adjustRightInd w:val="0"/>
        <w:spacing w:line="360" w:lineRule="auto"/>
        <w:ind w:left="4253" w:hanging="4253"/>
        <w:jc w:val="both"/>
        <w:rPr>
          <w:color w:val="000000"/>
          <w:sz w:val="24"/>
          <w:szCs w:val="24"/>
        </w:rPr>
      </w:pPr>
      <w:r>
        <w:rPr>
          <w:color w:val="000000"/>
        </w:rPr>
        <w:t xml:space="preserve">                                                                     </w:t>
      </w:r>
      <w:r>
        <w:rPr>
          <w:b/>
          <w:color w:val="000000"/>
        </w:rPr>
        <w:t xml:space="preserve"> </w:t>
      </w:r>
      <w:r>
        <w:rPr>
          <w:b/>
          <w:color w:val="000000"/>
        </w:rPr>
        <w:t xml:space="preserve">             </w:t>
      </w:r>
      <w:r>
        <w:rPr>
          <w:b/>
          <w:color w:val="000000"/>
        </w:rPr>
        <w:t>Relator</w:t>
      </w:r>
      <w:r>
        <w:rPr>
          <w:color w:val="000000"/>
        </w:rPr>
        <w:t xml:space="preserve"> Deputado Antônio Pereira</w:t>
      </w:r>
    </w:p>
    <w:p w14:paraId="1F2920B0" w14:textId="1461A574" w:rsidR="00C33FFB" w:rsidRPr="00C33FFB" w:rsidRDefault="00C33FFB" w:rsidP="00C33FFB">
      <w:pPr>
        <w:autoSpaceDE w:val="0"/>
        <w:autoSpaceDN w:val="0"/>
        <w:adjustRightInd w:val="0"/>
        <w:spacing w:line="360" w:lineRule="auto"/>
        <w:ind w:left="4253" w:hanging="4253"/>
        <w:jc w:val="both"/>
        <w:rPr>
          <w:color w:val="000000"/>
          <w:sz w:val="24"/>
          <w:szCs w:val="24"/>
        </w:rPr>
      </w:pPr>
      <w:r>
        <w:rPr>
          <w:b/>
          <w:color w:val="000000"/>
        </w:rPr>
        <w:t>Vota a favor                                                                  Vota contra</w:t>
      </w:r>
      <w:bookmarkStart w:id="0" w:name="_GoBack"/>
      <w:bookmarkEnd w:id="0"/>
    </w:p>
    <w:p w14:paraId="07D7C267" w14:textId="77777777" w:rsidR="00C33FFB" w:rsidRDefault="00C33FFB" w:rsidP="00C33FFB">
      <w:pPr>
        <w:autoSpaceDE w:val="0"/>
        <w:autoSpaceDN w:val="0"/>
        <w:adjustRightInd w:val="0"/>
        <w:spacing w:line="360" w:lineRule="auto"/>
        <w:ind w:hanging="284"/>
        <w:jc w:val="both"/>
        <w:rPr>
          <w:color w:val="000000"/>
        </w:rPr>
      </w:pPr>
      <w:r>
        <w:rPr>
          <w:color w:val="000000"/>
        </w:rPr>
        <w:t xml:space="preserve">      Deputado Wendell Lages                                             ___________________________</w:t>
      </w:r>
    </w:p>
    <w:p w14:paraId="7B49A150" w14:textId="77777777" w:rsidR="00C33FFB" w:rsidRDefault="00C33FFB" w:rsidP="00C33FFB">
      <w:pPr>
        <w:autoSpaceDE w:val="0"/>
        <w:autoSpaceDN w:val="0"/>
        <w:adjustRightInd w:val="0"/>
        <w:spacing w:line="360" w:lineRule="auto"/>
        <w:ind w:hanging="284"/>
        <w:jc w:val="both"/>
        <w:rPr>
          <w:color w:val="000000"/>
        </w:rPr>
      </w:pPr>
      <w:r>
        <w:rPr>
          <w:color w:val="000000"/>
        </w:rPr>
        <w:t xml:space="preserve">      Deputado Zé Inácio Lula                                              ___________________________</w:t>
      </w:r>
    </w:p>
    <w:p w14:paraId="52BE673B" w14:textId="77777777" w:rsidR="00C33FFB" w:rsidRDefault="00C33FFB" w:rsidP="00C33FFB">
      <w:pPr>
        <w:autoSpaceDE w:val="0"/>
        <w:autoSpaceDN w:val="0"/>
        <w:adjustRightInd w:val="0"/>
        <w:spacing w:line="360" w:lineRule="auto"/>
        <w:ind w:hanging="284"/>
        <w:jc w:val="both"/>
        <w:rPr>
          <w:color w:val="000000"/>
        </w:rPr>
      </w:pPr>
      <w:r>
        <w:rPr>
          <w:color w:val="000000"/>
        </w:rPr>
        <w:t xml:space="preserve">      Deputado Adriano                                                       ___________________________</w:t>
      </w:r>
    </w:p>
    <w:p w14:paraId="6D8B354C" w14:textId="77777777" w:rsidR="00C33FFB" w:rsidRDefault="00C33FFB" w:rsidP="00C33FFB">
      <w:pPr>
        <w:autoSpaceDE w:val="0"/>
        <w:autoSpaceDN w:val="0"/>
        <w:adjustRightInd w:val="0"/>
        <w:spacing w:line="360" w:lineRule="auto"/>
        <w:ind w:hanging="284"/>
        <w:jc w:val="both"/>
        <w:rPr>
          <w:color w:val="000000"/>
        </w:rPr>
      </w:pPr>
      <w:r>
        <w:rPr>
          <w:color w:val="000000"/>
        </w:rPr>
        <w:t xml:space="preserve">      Deputado Rafael Leitoa                                              ___________________________</w:t>
      </w:r>
    </w:p>
    <w:p w14:paraId="10888FE9" w14:textId="77777777" w:rsidR="00C33FFB" w:rsidRDefault="00C33FFB" w:rsidP="00C33FFB">
      <w:pPr>
        <w:autoSpaceDE w:val="0"/>
        <w:autoSpaceDN w:val="0"/>
        <w:adjustRightInd w:val="0"/>
        <w:spacing w:line="360" w:lineRule="auto"/>
        <w:ind w:hanging="284"/>
        <w:jc w:val="both"/>
        <w:rPr>
          <w:color w:val="000000" w:themeColor="text1"/>
        </w:rPr>
      </w:pPr>
      <w:r>
        <w:rPr>
          <w:color w:val="000000" w:themeColor="text1"/>
        </w:rPr>
        <w:t xml:space="preserve">      _______________________                                      __________________________</w:t>
      </w:r>
    </w:p>
    <w:p w14:paraId="62059551" w14:textId="77777777" w:rsidR="00C33FFB" w:rsidRDefault="00C33FFB" w:rsidP="00C33FFB">
      <w:pPr>
        <w:autoSpaceDE w:val="0"/>
        <w:autoSpaceDN w:val="0"/>
        <w:adjustRightInd w:val="0"/>
        <w:spacing w:line="360" w:lineRule="auto"/>
        <w:ind w:hanging="284"/>
        <w:jc w:val="both"/>
        <w:rPr>
          <w:b/>
          <w:iCs/>
        </w:rPr>
      </w:pPr>
    </w:p>
    <w:p w14:paraId="0B3E1CB2" w14:textId="77777777" w:rsidR="00C33FFB" w:rsidRDefault="00C33FFB" w:rsidP="00C33FFB">
      <w:pPr>
        <w:autoSpaceDE w:val="0"/>
        <w:autoSpaceDN w:val="0"/>
        <w:adjustRightInd w:val="0"/>
        <w:spacing w:line="360" w:lineRule="auto"/>
        <w:ind w:firstLine="1134"/>
        <w:jc w:val="both"/>
        <w:rPr>
          <w:color w:val="000000"/>
        </w:rPr>
      </w:pPr>
    </w:p>
    <w:p w14:paraId="05C1D717" w14:textId="7997DCC9" w:rsidR="00C33FFB" w:rsidRDefault="00C33FFB" w:rsidP="00C33FFB">
      <w:pPr>
        <w:spacing w:line="240" w:lineRule="auto"/>
        <w:ind w:left="4111" w:hanging="3260"/>
        <w:jc w:val="both"/>
        <w:rPr>
          <w:rFonts w:ascii="Times New Roman" w:hAnsi="Times New Roman" w:cs="Times New Roman"/>
          <w:color w:val="000000"/>
        </w:rPr>
      </w:pPr>
    </w:p>
    <w:p w14:paraId="02580969" w14:textId="2F6B3A84" w:rsidR="002F4256" w:rsidRDefault="002F4256" w:rsidP="002F4256">
      <w:pPr>
        <w:autoSpaceDE w:val="0"/>
        <w:autoSpaceDN w:val="0"/>
        <w:adjustRightInd w:val="0"/>
        <w:spacing w:line="240" w:lineRule="auto"/>
        <w:ind w:hanging="284"/>
        <w:jc w:val="both"/>
        <w:rPr>
          <w:rFonts w:ascii="Times New Roman" w:hAnsi="Times New Roman" w:cs="Times New Roman"/>
          <w:color w:val="000000"/>
        </w:rPr>
      </w:pPr>
    </w:p>
    <w:p w14:paraId="36FF68BC" w14:textId="77777777" w:rsidR="002F4256" w:rsidRDefault="002F4256" w:rsidP="002F4256">
      <w:pPr>
        <w:autoSpaceDE w:val="0"/>
        <w:autoSpaceDN w:val="0"/>
        <w:adjustRightInd w:val="0"/>
        <w:jc w:val="center"/>
        <w:rPr>
          <w:rFonts w:ascii="Times New Roman" w:hAnsi="Times New Roman"/>
          <w:b/>
          <w:bCs/>
          <w:sz w:val="24"/>
          <w:szCs w:val="24"/>
        </w:rPr>
      </w:pPr>
    </w:p>
    <w:p w14:paraId="6943D42A" w14:textId="066DA27E" w:rsidR="002F4256" w:rsidRDefault="002F4256" w:rsidP="002F42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SUBSTITUTIVO AO </w:t>
      </w:r>
      <w:r w:rsidRPr="00820998">
        <w:rPr>
          <w:rFonts w:ascii="Times New Roman" w:hAnsi="Times New Roman"/>
          <w:b/>
          <w:bCs/>
          <w:sz w:val="24"/>
          <w:szCs w:val="24"/>
        </w:rPr>
        <w:t xml:space="preserve">PROJETO DE LEI Nº 109 / </w:t>
      </w:r>
      <w:r>
        <w:rPr>
          <w:rFonts w:ascii="Times New Roman" w:hAnsi="Times New Roman"/>
          <w:b/>
          <w:bCs/>
          <w:sz w:val="24"/>
          <w:szCs w:val="24"/>
        </w:rPr>
        <w:t>20</w:t>
      </w:r>
      <w:r w:rsidRPr="00820998">
        <w:rPr>
          <w:rFonts w:ascii="Times New Roman" w:hAnsi="Times New Roman"/>
          <w:b/>
          <w:bCs/>
          <w:sz w:val="24"/>
          <w:szCs w:val="24"/>
        </w:rPr>
        <w:t>19</w:t>
      </w:r>
    </w:p>
    <w:p w14:paraId="3064DD71" w14:textId="1D514545" w:rsidR="002F4256" w:rsidRDefault="002F4256" w:rsidP="002F4256">
      <w:pPr>
        <w:autoSpaceDE w:val="0"/>
        <w:autoSpaceDN w:val="0"/>
        <w:adjustRightInd w:val="0"/>
        <w:ind w:left="4536"/>
        <w:jc w:val="both"/>
        <w:rPr>
          <w:rFonts w:ascii="Times New Roman" w:hAnsi="Times New Roman"/>
          <w:i/>
          <w:iCs/>
          <w:sz w:val="24"/>
          <w:szCs w:val="24"/>
        </w:rPr>
      </w:pPr>
      <w:r>
        <w:rPr>
          <w:rFonts w:ascii="Times New Roman" w:hAnsi="Times New Roman"/>
          <w:i/>
          <w:iCs/>
          <w:sz w:val="24"/>
          <w:szCs w:val="24"/>
        </w:rPr>
        <w:t>Estabelece Diretrizes para a i</w:t>
      </w:r>
      <w:r w:rsidRPr="00820998">
        <w:rPr>
          <w:rFonts w:ascii="Times New Roman" w:hAnsi="Times New Roman"/>
          <w:i/>
          <w:iCs/>
          <w:sz w:val="24"/>
          <w:szCs w:val="24"/>
        </w:rPr>
        <w:t>nstitui</w:t>
      </w:r>
      <w:r>
        <w:rPr>
          <w:rFonts w:ascii="Times New Roman" w:hAnsi="Times New Roman"/>
          <w:i/>
          <w:iCs/>
          <w:sz w:val="24"/>
          <w:szCs w:val="24"/>
        </w:rPr>
        <w:t>ção do</w:t>
      </w:r>
      <w:r w:rsidRPr="00820998">
        <w:rPr>
          <w:rFonts w:ascii="Times New Roman" w:hAnsi="Times New Roman"/>
          <w:i/>
          <w:iCs/>
          <w:sz w:val="24"/>
          <w:szCs w:val="24"/>
        </w:rPr>
        <w:t xml:space="preserve"> </w:t>
      </w:r>
      <w:r>
        <w:rPr>
          <w:rFonts w:ascii="Times New Roman" w:hAnsi="Times New Roman"/>
          <w:i/>
          <w:iCs/>
          <w:sz w:val="24"/>
          <w:szCs w:val="24"/>
        </w:rPr>
        <w:t>P</w:t>
      </w:r>
      <w:r w:rsidRPr="00820998">
        <w:rPr>
          <w:rFonts w:ascii="Times New Roman" w:hAnsi="Times New Roman"/>
          <w:i/>
          <w:iCs/>
          <w:sz w:val="24"/>
          <w:szCs w:val="24"/>
        </w:rPr>
        <w:t xml:space="preserve">rograma de </w:t>
      </w:r>
      <w:r>
        <w:rPr>
          <w:rFonts w:ascii="Times New Roman" w:hAnsi="Times New Roman"/>
          <w:i/>
          <w:iCs/>
          <w:sz w:val="24"/>
          <w:szCs w:val="24"/>
        </w:rPr>
        <w:t>P</w:t>
      </w:r>
      <w:r w:rsidRPr="00820998">
        <w:rPr>
          <w:rFonts w:ascii="Times New Roman" w:hAnsi="Times New Roman"/>
          <w:i/>
          <w:iCs/>
          <w:sz w:val="24"/>
          <w:szCs w:val="24"/>
        </w:rPr>
        <w:t xml:space="preserve">revenção e </w:t>
      </w:r>
      <w:r>
        <w:rPr>
          <w:rFonts w:ascii="Times New Roman" w:hAnsi="Times New Roman"/>
          <w:i/>
          <w:iCs/>
          <w:sz w:val="24"/>
          <w:szCs w:val="24"/>
        </w:rPr>
        <w:t>T</w:t>
      </w:r>
      <w:r w:rsidRPr="00820998">
        <w:rPr>
          <w:rFonts w:ascii="Times New Roman" w:hAnsi="Times New Roman"/>
          <w:i/>
          <w:iCs/>
          <w:sz w:val="24"/>
          <w:szCs w:val="24"/>
        </w:rPr>
        <w:t>ratamento do</w:t>
      </w:r>
      <w:r>
        <w:rPr>
          <w:rFonts w:ascii="Times New Roman" w:hAnsi="Times New Roman"/>
          <w:i/>
          <w:iCs/>
          <w:sz w:val="24"/>
          <w:szCs w:val="24"/>
        </w:rPr>
        <w:t xml:space="preserve"> C</w:t>
      </w:r>
      <w:r w:rsidRPr="00820998">
        <w:rPr>
          <w:rFonts w:ascii="Times New Roman" w:hAnsi="Times New Roman"/>
          <w:i/>
          <w:iCs/>
          <w:sz w:val="24"/>
          <w:szCs w:val="24"/>
        </w:rPr>
        <w:t xml:space="preserve">âncer de </w:t>
      </w:r>
      <w:r>
        <w:rPr>
          <w:rFonts w:ascii="Times New Roman" w:hAnsi="Times New Roman"/>
          <w:i/>
          <w:iCs/>
          <w:sz w:val="24"/>
          <w:szCs w:val="24"/>
        </w:rPr>
        <w:t>P</w:t>
      </w:r>
      <w:r w:rsidRPr="00820998">
        <w:rPr>
          <w:rFonts w:ascii="Times New Roman" w:hAnsi="Times New Roman"/>
          <w:i/>
          <w:iCs/>
          <w:sz w:val="24"/>
          <w:szCs w:val="24"/>
        </w:rPr>
        <w:t>ênis (tumor peniano) e do HPV masculino,</w:t>
      </w:r>
      <w:r>
        <w:rPr>
          <w:rFonts w:ascii="Times New Roman" w:hAnsi="Times New Roman"/>
          <w:i/>
          <w:iCs/>
          <w:sz w:val="24"/>
          <w:szCs w:val="24"/>
        </w:rPr>
        <w:t xml:space="preserve"> </w:t>
      </w:r>
      <w:r w:rsidRPr="00820998">
        <w:rPr>
          <w:rFonts w:ascii="Times New Roman" w:hAnsi="Times New Roman"/>
          <w:i/>
          <w:iCs/>
          <w:sz w:val="24"/>
          <w:szCs w:val="24"/>
        </w:rPr>
        <w:t>e dá outras providências.</w:t>
      </w:r>
    </w:p>
    <w:p w14:paraId="38DA7736" w14:textId="33A6129A" w:rsidR="002F4256" w:rsidRDefault="002F4256" w:rsidP="002F4256">
      <w:pPr>
        <w:autoSpaceDE w:val="0"/>
        <w:autoSpaceDN w:val="0"/>
        <w:adjustRightInd w:val="0"/>
        <w:ind w:firstLine="1134"/>
        <w:jc w:val="both"/>
        <w:rPr>
          <w:rFonts w:ascii="Times New Roman" w:hAnsi="Times New Roman"/>
          <w:sz w:val="24"/>
          <w:szCs w:val="24"/>
        </w:rPr>
      </w:pPr>
      <w:r w:rsidRPr="00820998">
        <w:rPr>
          <w:rFonts w:ascii="Times New Roman" w:hAnsi="Times New Roman"/>
          <w:b/>
          <w:bCs/>
          <w:sz w:val="24"/>
          <w:szCs w:val="24"/>
        </w:rPr>
        <w:t xml:space="preserve">Art. 1º </w:t>
      </w:r>
      <w:r w:rsidRPr="00820998">
        <w:rPr>
          <w:rFonts w:ascii="Times New Roman" w:hAnsi="Times New Roman"/>
          <w:sz w:val="24"/>
          <w:szCs w:val="24"/>
        </w:rPr>
        <w:t xml:space="preserve">- </w:t>
      </w:r>
      <w:r>
        <w:rPr>
          <w:rFonts w:ascii="Times New Roman" w:hAnsi="Times New Roman"/>
          <w:sz w:val="24"/>
          <w:szCs w:val="24"/>
        </w:rPr>
        <w:t>Esta Lei estabelece Diretrizes para a instituição do</w:t>
      </w:r>
      <w:r w:rsidRPr="00820998">
        <w:rPr>
          <w:rFonts w:ascii="Times New Roman" w:hAnsi="Times New Roman"/>
          <w:sz w:val="24"/>
          <w:szCs w:val="24"/>
        </w:rPr>
        <w:t xml:space="preserve"> Programa de Prevenção e Tratamento do</w:t>
      </w:r>
      <w:r>
        <w:rPr>
          <w:rFonts w:ascii="Times New Roman" w:hAnsi="Times New Roman"/>
          <w:sz w:val="24"/>
          <w:szCs w:val="24"/>
        </w:rPr>
        <w:t xml:space="preserve"> </w:t>
      </w:r>
      <w:r w:rsidRPr="00820998">
        <w:rPr>
          <w:rFonts w:ascii="Times New Roman" w:hAnsi="Times New Roman"/>
          <w:sz w:val="24"/>
          <w:szCs w:val="24"/>
        </w:rPr>
        <w:t xml:space="preserve">HPV – </w:t>
      </w:r>
      <w:proofErr w:type="spellStart"/>
      <w:r w:rsidRPr="00820998">
        <w:rPr>
          <w:rFonts w:ascii="Times New Roman" w:hAnsi="Times New Roman"/>
          <w:sz w:val="24"/>
          <w:szCs w:val="24"/>
        </w:rPr>
        <w:t>papilomavírus</w:t>
      </w:r>
      <w:proofErr w:type="spellEnd"/>
      <w:r w:rsidRPr="00820998">
        <w:rPr>
          <w:rFonts w:ascii="Times New Roman" w:hAnsi="Times New Roman"/>
          <w:sz w:val="24"/>
          <w:szCs w:val="24"/>
        </w:rPr>
        <w:t xml:space="preserve"> humano e do câncer de pênis (tumor peniano).</w:t>
      </w:r>
      <w:r>
        <w:rPr>
          <w:rFonts w:ascii="Times New Roman" w:hAnsi="Times New Roman"/>
          <w:sz w:val="24"/>
          <w:szCs w:val="24"/>
        </w:rPr>
        <w:t xml:space="preserve"> </w:t>
      </w:r>
    </w:p>
    <w:p w14:paraId="050C78BB" w14:textId="559C9017" w:rsidR="002F4256" w:rsidRDefault="002F4256" w:rsidP="002F4256">
      <w:pPr>
        <w:autoSpaceDE w:val="0"/>
        <w:autoSpaceDN w:val="0"/>
        <w:adjustRightInd w:val="0"/>
        <w:ind w:firstLine="1134"/>
        <w:jc w:val="both"/>
        <w:rPr>
          <w:rFonts w:ascii="Times New Roman" w:hAnsi="Times New Roman"/>
          <w:b/>
          <w:bCs/>
          <w:sz w:val="24"/>
          <w:szCs w:val="24"/>
        </w:rPr>
      </w:pPr>
      <w:r w:rsidRPr="00820998">
        <w:rPr>
          <w:rFonts w:ascii="Times New Roman" w:hAnsi="Times New Roman"/>
          <w:b/>
          <w:bCs/>
          <w:sz w:val="24"/>
          <w:szCs w:val="24"/>
        </w:rPr>
        <w:t xml:space="preserve">Art. 2º </w:t>
      </w:r>
      <w:r w:rsidRPr="00820998">
        <w:rPr>
          <w:rFonts w:ascii="Times New Roman" w:hAnsi="Times New Roman"/>
          <w:sz w:val="24"/>
          <w:szCs w:val="24"/>
        </w:rPr>
        <w:t>- As ações de prevenção serão desenvolvidas pel</w:t>
      </w:r>
      <w:r>
        <w:rPr>
          <w:rFonts w:ascii="Times New Roman" w:hAnsi="Times New Roman"/>
          <w:sz w:val="24"/>
          <w:szCs w:val="24"/>
        </w:rPr>
        <w:t>o Poder Público Estadual</w:t>
      </w:r>
      <w:r w:rsidRPr="00820998">
        <w:rPr>
          <w:rFonts w:ascii="Times New Roman" w:hAnsi="Times New Roman"/>
          <w:sz w:val="24"/>
          <w:szCs w:val="24"/>
        </w:rPr>
        <w:t>, através de campanhas permanentes na rede</w:t>
      </w:r>
      <w:r>
        <w:rPr>
          <w:rFonts w:ascii="Times New Roman" w:hAnsi="Times New Roman"/>
          <w:sz w:val="24"/>
          <w:szCs w:val="24"/>
        </w:rPr>
        <w:t xml:space="preserve"> </w:t>
      </w:r>
      <w:r w:rsidRPr="00820998">
        <w:rPr>
          <w:rFonts w:ascii="Times New Roman" w:hAnsi="Times New Roman"/>
          <w:sz w:val="24"/>
          <w:szCs w:val="24"/>
        </w:rPr>
        <w:t>pública de saúde e educação, com a finalidade de divulgar, nos diversos</w:t>
      </w:r>
      <w:r>
        <w:rPr>
          <w:rFonts w:ascii="Times New Roman" w:hAnsi="Times New Roman"/>
          <w:sz w:val="24"/>
          <w:szCs w:val="24"/>
        </w:rPr>
        <w:t xml:space="preserve"> </w:t>
      </w:r>
      <w:r w:rsidRPr="00820998">
        <w:rPr>
          <w:rFonts w:ascii="Times New Roman" w:hAnsi="Times New Roman"/>
          <w:sz w:val="24"/>
          <w:szCs w:val="24"/>
        </w:rPr>
        <w:t>segmentos da sociedade a prevenção, o diagnóstico e o tratamento do HPV</w:t>
      </w:r>
      <w:r>
        <w:rPr>
          <w:rFonts w:ascii="Times New Roman" w:hAnsi="Times New Roman"/>
          <w:sz w:val="24"/>
          <w:szCs w:val="24"/>
        </w:rPr>
        <w:t xml:space="preserve"> </w:t>
      </w:r>
      <w:r w:rsidRPr="00820998">
        <w:rPr>
          <w:rFonts w:ascii="Times New Roman" w:hAnsi="Times New Roman"/>
          <w:sz w:val="24"/>
          <w:szCs w:val="24"/>
        </w:rPr>
        <w:t xml:space="preserve">– </w:t>
      </w:r>
      <w:proofErr w:type="spellStart"/>
      <w:r w:rsidRPr="00820998">
        <w:rPr>
          <w:rFonts w:ascii="Times New Roman" w:hAnsi="Times New Roman"/>
          <w:sz w:val="24"/>
          <w:szCs w:val="24"/>
        </w:rPr>
        <w:t>papilomavírus</w:t>
      </w:r>
      <w:proofErr w:type="spellEnd"/>
      <w:r w:rsidRPr="00820998">
        <w:rPr>
          <w:rFonts w:ascii="Times New Roman" w:hAnsi="Times New Roman"/>
          <w:sz w:val="24"/>
          <w:szCs w:val="24"/>
        </w:rPr>
        <w:t xml:space="preserve"> masculino e do câncer de pênis (tumor peniano)</w:t>
      </w:r>
      <w:r>
        <w:rPr>
          <w:rFonts w:ascii="Times New Roman" w:hAnsi="Times New Roman"/>
          <w:sz w:val="24"/>
          <w:szCs w:val="24"/>
        </w:rPr>
        <w:t xml:space="preserve">. </w:t>
      </w:r>
    </w:p>
    <w:p w14:paraId="614CE9AC" w14:textId="41EAA798" w:rsidR="002F4256" w:rsidRDefault="002F4256" w:rsidP="002F4256">
      <w:pPr>
        <w:autoSpaceDE w:val="0"/>
        <w:autoSpaceDN w:val="0"/>
        <w:adjustRightInd w:val="0"/>
        <w:ind w:firstLine="1134"/>
        <w:jc w:val="both"/>
        <w:rPr>
          <w:rFonts w:ascii="Times New Roman" w:hAnsi="Times New Roman"/>
          <w:sz w:val="24"/>
          <w:szCs w:val="24"/>
        </w:rPr>
      </w:pPr>
      <w:r w:rsidRPr="00820998">
        <w:rPr>
          <w:rFonts w:ascii="Times New Roman" w:hAnsi="Times New Roman"/>
          <w:b/>
          <w:bCs/>
          <w:sz w:val="24"/>
          <w:szCs w:val="24"/>
        </w:rPr>
        <w:t xml:space="preserve">Art. 3º </w:t>
      </w:r>
      <w:r w:rsidRPr="00820998">
        <w:rPr>
          <w:rFonts w:ascii="Times New Roman" w:hAnsi="Times New Roman"/>
          <w:sz w:val="24"/>
          <w:szCs w:val="24"/>
        </w:rPr>
        <w:t xml:space="preserve">- </w:t>
      </w:r>
      <w:proofErr w:type="gramStart"/>
      <w:r w:rsidRPr="00820998">
        <w:rPr>
          <w:rFonts w:ascii="Times New Roman" w:hAnsi="Times New Roman"/>
          <w:sz w:val="24"/>
          <w:szCs w:val="24"/>
        </w:rPr>
        <w:t>Qualquer unidade de saúde da rede pública de saúde do</w:t>
      </w:r>
      <w:r>
        <w:rPr>
          <w:rFonts w:ascii="Times New Roman" w:hAnsi="Times New Roman"/>
          <w:sz w:val="24"/>
          <w:szCs w:val="24"/>
        </w:rPr>
        <w:t>s Municípios do Estado do Maranhão</w:t>
      </w:r>
      <w:r w:rsidRPr="00820998">
        <w:rPr>
          <w:rFonts w:ascii="Times New Roman" w:hAnsi="Times New Roman"/>
          <w:sz w:val="24"/>
          <w:szCs w:val="24"/>
        </w:rPr>
        <w:t xml:space="preserve"> proceder</w:t>
      </w:r>
      <w:r>
        <w:rPr>
          <w:rFonts w:ascii="Times New Roman" w:hAnsi="Times New Roman"/>
          <w:sz w:val="24"/>
          <w:szCs w:val="24"/>
        </w:rPr>
        <w:t>ão</w:t>
      </w:r>
      <w:proofErr w:type="gramEnd"/>
      <w:r w:rsidRPr="00820998">
        <w:rPr>
          <w:rFonts w:ascii="Times New Roman" w:hAnsi="Times New Roman"/>
          <w:sz w:val="24"/>
          <w:szCs w:val="24"/>
        </w:rPr>
        <w:t xml:space="preserve"> à comunicação para </w:t>
      </w:r>
      <w:r>
        <w:rPr>
          <w:rFonts w:ascii="Times New Roman" w:hAnsi="Times New Roman"/>
          <w:sz w:val="24"/>
          <w:szCs w:val="24"/>
        </w:rPr>
        <w:t xml:space="preserve">o Órgão de Saúde do Estado, </w:t>
      </w:r>
      <w:r w:rsidRPr="00820998">
        <w:rPr>
          <w:rFonts w:ascii="Times New Roman" w:hAnsi="Times New Roman"/>
          <w:sz w:val="24"/>
          <w:szCs w:val="24"/>
        </w:rPr>
        <w:t>que deverá encaminhar e acompanhar cada caso específico.</w:t>
      </w:r>
    </w:p>
    <w:p w14:paraId="14F63590" w14:textId="32F927D0" w:rsidR="002F4256" w:rsidRDefault="002F4256" w:rsidP="002F4256">
      <w:pPr>
        <w:autoSpaceDE w:val="0"/>
        <w:autoSpaceDN w:val="0"/>
        <w:adjustRightInd w:val="0"/>
        <w:ind w:firstLine="1134"/>
        <w:jc w:val="both"/>
        <w:rPr>
          <w:rFonts w:ascii="Times New Roman" w:hAnsi="Times New Roman"/>
          <w:sz w:val="24"/>
          <w:szCs w:val="24"/>
        </w:rPr>
      </w:pPr>
      <w:r w:rsidRPr="00820998">
        <w:rPr>
          <w:rFonts w:ascii="Times New Roman" w:hAnsi="Times New Roman"/>
          <w:b/>
          <w:bCs/>
          <w:sz w:val="24"/>
          <w:szCs w:val="24"/>
        </w:rPr>
        <w:t xml:space="preserve">Art. </w:t>
      </w:r>
      <w:r>
        <w:rPr>
          <w:rFonts w:ascii="Times New Roman" w:hAnsi="Times New Roman"/>
          <w:b/>
          <w:bCs/>
          <w:sz w:val="24"/>
          <w:szCs w:val="24"/>
        </w:rPr>
        <w:t>4</w:t>
      </w:r>
      <w:r w:rsidRPr="00820998">
        <w:rPr>
          <w:rFonts w:ascii="Times New Roman" w:hAnsi="Times New Roman"/>
          <w:b/>
          <w:bCs/>
          <w:sz w:val="24"/>
          <w:szCs w:val="24"/>
        </w:rPr>
        <w:t xml:space="preserve">º </w:t>
      </w:r>
      <w:r w:rsidRPr="00820998">
        <w:rPr>
          <w:rFonts w:ascii="Times New Roman" w:hAnsi="Times New Roman"/>
          <w:sz w:val="24"/>
          <w:szCs w:val="24"/>
        </w:rPr>
        <w:t xml:space="preserve">- Para a consecução dos objetivos </w:t>
      </w:r>
      <w:r>
        <w:rPr>
          <w:rFonts w:ascii="Times New Roman" w:hAnsi="Times New Roman"/>
          <w:sz w:val="24"/>
          <w:szCs w:val="24"/>
        </w:rPr>
        <w:t xml:space="preserve">de que trata a presente Lei o Poder Público Estadual </w:t>
      </w:r>
      <w:r w:rsidRPr="00820998">
        <w:rPr>
          <w:rFonts w:ascii="Times New Roman" w:hAnsi="Times New Roman"/>
          <w:sz w:val="24"/>
          <w:szCs w:val="24"/>
        </w:rPr>
        <w:t>poderá celebrar convênios e /ou instrumentos de parcerias com pessoas</w:t>
      </w:r>
      <w:r>
        <w:rPr>
          <w:rFonts w:ascii="Times New Roman" w:hAnsi="Times New Roman"/>
          <w:sz w:val="24"/>
          <w:szCs w:val="24"/>
        </w:rPr>
        <w:t xml:space="preserve"> </w:t>
      </w:r>
      <w:r w:rsidRPr="00820998">
        <w:rPr>
          <w:rFonts w:ascii="Times New Roman" w:hAnsi="Times New Roman"/>
          <w:sz w:val="24"/>
          <w:szCs w:val="24"/>
        </w:rPr>
        <w:t>jurídicas de direito público e privado.</w:t>
      </w:r>
    </w:p>
    <w:p w14:paraId="220F6579" w14:textId="0FC7992F" w:rsidR="002F4256" w:rsidRPr="00820998" w:rsidRDefault="002F4256" w:rsidP="002F4256">
      <w:pPr>
        <w:autoSpaceDE w:val="0"/>
        <w:autoSpaceDN w:val="0"/>
        <w:adjustRightInd w:val="0"/>
        <w:ind w:firstLine="1134"/>
        <w:jc w:val="both"/>
        <w:rPr>
          <w:rFonts w:ascii="Times New Roman" w:hAnsi="Times New Roman"/>
          <w:sz w:val="24"/>
          <w:szCs w:val="24"/>
        </w:rPr>
      </w:pPr>
      <w:r w:rsidRPr="00820998">
        <w:rPr>
          <w:rFonts w:ascii="Times New Roman" w:hAnsi="Times New Roman"/>
          <w:b/>
          <w:bCs/>
          <w:sz w:val="24"/>
          <w:szCs w:val="24"/>
        </w:rPr>
        <w:t xml:space="preserve">Art. </w:t>
      </w:r>
      <w:r>
        <w:rPr>
          <w:rFonts w:ascii="Times New Roman" w:hAnsi="Times New Roman"/>
          <w:b/>
          <w:bCs/>
          <w:sz w:val="24"/>
          <w:szCs w:val="24"/>
        </w:rPr>
        <w:t>5</w:t>
      </w:r>
      <w:r w:rsidRPr="00820998">
        <w:rPr>
          <w:rFonts w:ascii="Times New Roman" w:hAnsi="Times New Roman"/>
          <w:b/>
          <w:bCs/>
          <w:sz w:val="24"/>
          <w:szCs w:val="24"/>
        </w:rPr>
        <w:t xml:space="preserve">º </w:t>
      </w:r>
      <w:r w:rsidRPr="00820998">
        <w:rPr>
          <w:rFonts w:ascii="Times New Roman" w:hAnsi="Times New Roman"/>
          <w:sz w:val="24"/>
          <w:szCs w:val="24"/>
        </w:rPr>
        <w:t>Esta Lei entra em vigor na data de sua publicação.</w:t>
      </w:r>
    </w:p>
    <w:p w14:paraId="4A0F2FF0" w14:textId="77777777" w:rsidR="002F4256" w:rsidRPr="00E212D5" w:rsidRDefault="002F4256" w:rsidP="002F4256">
      <w:pPr>
        <w:autoSpaceDE w:val="0"/>
        <w:autoSpaceDN w:val="0"/>
        <w:adjustRightInd w:val="0"/>
        <w:spacing w:line="240" w:lineRule="auto"/>
        <w:ind w:hanging="284"/>
        <w:jc w:val="both"/>
        <w:rPr>
          <w:rFonts w:ascii="Times New Roman" w:hAnsi="Times New Roman" w:cs="Times New Roman"/>
          <w:color w:val="000000"/>
        </w:rPr>
      </w:pPr>
    </w:p>
    <w:sectPr w:rsidR="002F4256" w:rsidRPr="00E212D5" w:rsidSect="00E212D5">
      <w:headerReference w:type="default" r:id="rId10"/>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6A4D" w14:textId="77777777" w:rsidR="00DC1041" w:rsidRDefault="00DC1041" w:rsidP="001C4230">
      <w:pPr>
        <w:spacing w:after="0" w:line="240" w:lineRule="auto"/>
      </w:pPr>
      <w:r>
        <w:separator/>
      </w:r>
    </w:p>
  </w:endnote>
  <w:endnote w:type="continuationSeparator" w:id="0">
    <w:p w14:paraId="4205D63D" w14:textId="77777777" w:rsidR="00DC1041" w:rsidRDefault="00DC1041"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037A" w14:textId="77777777" w:rsidR="00DC1041" w:rsidRDefault="00DC1041" w:rsidP="001C4230">
      <w:pPr>
        <w:spacing w:after="0" w:line="240" w:lineRule="auto"/>
      </w:pPr>
      <w:r>
        <w:separator/>
      </w:r>
    </w:p>
  </w:footnote>
  <w:footnote w:type="continuationSeparator" w:id="0">
    <w:p w14:paraId="25511018" w14:textId="77777777" w:rsidR="00DC1041" w:rsidRDefault="00DC1041" w:rsidP="001C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5847" w14:textId="77777777" w:rsidR="00E212D5" w:rsidRPr="00204009" w:rsidRDefault="00E212D5" w:rsidP="00E212D5">
    <w:pPr>
      <w:tabs>
        <w:tab w:val="center" w:pos="4419"/>
        <w:tab w:val="right" w:pos="8838"/>
      </w:tabs>
      <w:autoSpaceDN w:val="0"/>
      <w:spacing w:after="0" w:line="240" w:lineRule="auto"/>
      <w:ind w:right="360"/>
      <w:jc w:val="center"/>
      <w:textAlignment w:val="baseline"/>
      <w:rPr>
        <w:rFonts w:ascii="Liberation Serif" w:eastAsia="SimSun" w:hAnsi="Liberation Serif" w:cs="Arial" w:hint="eastAsia"/>
        <w:kern w:val="3"/>
        <w:lang w:eastAsia="zh-CN" w:bidi="hi-IN"/>
      </w:rPr>
    </w:pPr>
    <w:r w:rsidRPr="00204009">
      <w:rPr>
        <w:rFonts w:ascii="Liberation Serif" w:eastAsia="SimSun" w:hAnsi="Liberation Serif" w:cs="Arial"/>
        <w:noProof/>
        <w:kern w:val="3"/>
      </w:rPr>
      <w:drawing>
        <wp:inline distT="0" distB="0" distL="0" distR="0" wp14:anchorId="67A518A6" wp14:editId="43AF91FD">
          <wp:extent cx="95250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6E408D4F" w14:textId="77777777" w:rsidR="00E212D5" w:rsidRPr="00204009" w:rsidRDefault="00E212D5" w:rsidP="00E212D5">
    <w:pPr>
      <w:tabs>
        <w:tab w:val="center" w:pos="4419"/>
        <w:tab w:val="right" w:pos="8838"/>
      </w:tabs>
      <w:autoSpaceDN w:val="0"/>
      <w:spacing w:after="0" w:line="240" w:lineRule="auto"/>
      <w:jc w:val="center"/>
      <w:rPr>
        <w:rFonts w:ascii="Century Gothic" w:hAnsi="Century Gothic"/>
        <w:b/>
        <w:lang w:eastAsia="zh-CN"/>
      </w:rPr>
    </w:pPr>
    <w:r w:rsidRPr="00204009">
      <w:rPr>
        <w:rFonts w:ascii="Century Gothic" w:hAnsi="Century Gothic"/>
        <w:b/>
        <w:lang w:eastAsia="zh-CN"/>
      </w:rPr>
      <w:t>ESTADO DO MARANHÃO</w:t>
    </w:r>
  </w:p>
  <w:p w14:paraId="3D79F0BB" w14:textId="77777777" w:rsidR="00E212D5" w:rsidRPr="00204009" w:rsidRDefault="00E212D5" w:rsidP="00E212D5">
    <w:pPr>
      <w:tabs>
        <w:tab w:val="center" w:pos="4419"/>
        <w:tab w:val="right" w:pos="8838"/>
      </w:tabs>
      <w:autoSpaceDN w:val="0"/>
      <w:spacing w:after="0" w:line="240" w:lineRule="auto"/>
      <w:jc w:val="center"/>
      <w:rPr>
        <w:rFonts w:ascii="Century Gothic" w:hAnsi="Century Gothic"/>
        <w:b/>
        <w:sz w:val="18"/>
        <w:szCs w:val="20"/>
        <w:lang w:eastAsia="zh-CN"/>
      </w:rPr>
    </w:pPr>
    <w:r w:rsidRPr="00204009">
      <w:rPr>
        <w:rFonts w:ascii="Century Gothic" w:hAnsi="Century Gothic"/>
        <w:b/>
        <w:sz w:val="18"/>
        <w:szCs w:val="20"/>
        <w:lang w:eastAsia="zh-CN"/>
      </w:rPr>
      <w:t>ASSEMBLEIA LEGISLATIVA DO MARANHÃO</w:t>
    </w:r>
  </w:p>
  <w:p w14:paraId="0A151878" w14:textId="77777777" w:rsidR="00E212D5" w:rsidRPr="00204009" w:rsidRDefault="00E212D5" w:rsidP="00E212D5">
    <w:pPr>
      <w:widowControl w:val="0"/>
      <w:tabs>
        <w:tab w:val="center" w:pos="4252"/>
        <w:tab w:val="right" w:pos="8504"/>
      </w:tabs>
      <w:suppressAutoHyphens/>
      <w:autoSpaceDN w:val="0"/>
      <w:spacing w:after="0" w:line="240" w:lineRule="auto"/>
      <w:jc w:val="center"/>
      <w:textAlignment w:val="baseline"/>
      <w:rPr>
        <w:rFonts w:ascii="Century Gothic" w:eastAsia="SimSun" w:hAnsi="Century Gothic" w:cs="Mangal"/>
        <w:b/>
        <w:kern w:val="3"/>
        <w:sz w:val="20"/>
        <w:szCs w:val="21"/>
        <w:lang w:eastAsia="zh-CN" w:bidi="hi-IN"/>
      </w:rPr>
    </w:pPr>
    <w:r w:rsidRPr="00204009">
      <w:rPr>
        <w:rFonts w:ascii="Century Gothic" w:eastAsia="SimSun" w:hAnsi="Century Gothic" w:cs="Mangal"/>
        <w:b/>
        <w:kern w:val="3"/>
        <w:sz w:val="20"/>
        <w:szCs w:val="21"/>
        <w:lang w:eastAsia="zh-CN" w:bidi="hi-IN"/>
      </w:rPr>
      <w:t>INSTALADA EM 16 DE FEVEREIRO DE 1835</w:t>
    </w:r>
  </w:p>
  <w:p w14:paraId="66586199" w14:textId="77777777" w:rsidR="00E212D5" w:rsidRPr="00204009" w:rsidRDefault="00E212D5" w:rsidP="00E212D5">
    <w:pPr>
      <w:widowControl w:val="0"/>
      <w:tabs>
        <w:tab w:val="center" w:pos="4252"/>
        <w:tab w:val="right" w:pos="8504"/>
      </w:tabs>
      <w:suppressAutoHyphens/>
      <w:autoSpaceDN w:val="0"/>
      <w:spacing w:after="0" w:line="240" w:lineRule="auto"/>
      <w:jc w:val="center"/>
      <w:textAlignment w:val="baseline"/>
      <w:rPr>
        <w:rFonts w:ascii="Century Gothic" w:eastAsia="SimSun" w:hAnsi="Century Gothic" w:cs="Mangal"/>
        <w:b/>
        <w:kern w:val="3"/>
        <w:sz w:val="20"/>
        <w:szCs w:val="21"/>
        <w:lang w:eastAsia="zh-CN" w:bidi="hi-IN"/>
      </w:rPr>
    </w:pPr>
    <w:r w:rsidRPr="00204009">
      <w:rPr>
        <w:rFonts w:ascii="Century Gothic" w:eastAsia="SimSun" w:hAnsi="Century Gothic" w:cs="Mangal"/>
        <w:b/>
        <w:kern w:val="3"/>
        <w:sz w:val="20"/>
        <w:szCs w:val="21"/>
        <w:lang w:eastAsia="zh-CN" w:bidi="hi-IN"/>
      </w:rPr>
      <w:t>DIRETORIA LEGISLATIVA</w:t>
    </w:r>
  </w:p>
  <w:p w14:paraId="55E6E1E2" w14:textId="77777777" w:rsidR="00E212D5" w:rsidRDefault="00E212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5155"/>
    <w:multiLevelType w:val="hybridMultilevel"/>
    <w:tmpl w:val="98AEF89C"/>
    <w:lvl w:ilvl="0" w:tplc="0E3A326A">
      <w:start w:val="1"/>
      <w:numFmt w:val="decimal"/>
      <w:lvlText w:val="%1."/>
      <w:lvlJc w:val="left"/>
      <w:pPr>
        <w:ind w:left="720" w:hanging="360"/>
      </w:pPr>
      <w:rPr>
        <w:rFonts w:hint="default"/>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93449C"/>
    <w:multiLevelType w:val="hybridMultilevel"/>
    <w:tmpl w:val="35D8E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01753"/>
    <w:rsid w:val="000072BA"/>
    <w:rsid w:val="00007FA8"/>
    <w:rsid w:val="000148B2"/>
    <w:rsid w:val="00016604"/>
    <w:rsid w:val="00017D80"/>
    <w:rsid w:val="00023889"/>
    <w:rsid w:val="00037077"/>
    <w:rsid w:val="00047B59"/>
    <w:rsid w:val="00047C28"/>
    <w:rsid w:val="00055931"/>
    <w:rsid w:val="00061D25"/>
    <w:rsid w:val="00070734"/>
    <w:rsid w:val="00084971"/>
    <w:rsid w:val="00086A7A"/>
    <w:rsid w:val="00087A06"/>
    <w:rsid w:val="000907BB"/>
    <w:rsid w:val="000C135D"/>
    <w:rsid w:val="000D4355"/>
    <w:rsid w:val="000D44EF"/>
    <w:rsid w:val="000E767D"/>
    <w:rsid w:val="000F057F"/>
    <w:rsid w:val="000F0685"/>
    <w:rsid w:val="00103D40"/>
    <w:rsid w:val="00103F6B"/>
    <w:rsid w:val="0010565C"/>
    <w:rsid w:val="00110179"/>
    <w:rsid w:val="00110210"/>
    <w:rsid w:val="00112066"/>
    <w:rsid w:val="00114D98"/>
    <w:rsid w:val="00116CA0"/>
    <w:rsid w:val="001253C4"/>
    <w:rsid w:val="001253D3"/>
    <w:rsid w:val="00126379"/>
    <w:rsid w:val="00126C9A"/>
    <w:rsid w:val="00134902"/>
    <w:rsid w:val="00135812"/>
    <w:rsid w:val="001606D2"/>
    <w:rsid w:val="001610EE"/>
    <w:rsid w:val="001723AE"/>
    <w:rsid w:val="00177CE0"/>
    <w:rsid w:val="00182554"/>
    <w:rsid w:val="00191E1A"/>
    <w:rsid w:val="0019434B"/>
    <w:rsid w:val="0019434F"/>
    <w:rsid w:val="001B4B01"/>
    <w:rsid w:val="001C212D"/>
    <w:rsid w:val="001C3E30"/>
    <w:rsid w:val="001C4230"/>
    <w:rsid w:val="001D476F"/>
    <w:rsid w:val="001E262C"/>
    <w:rsid w:val="001F1A1F"/>
    <w:rsid w:val="001F3F63"/>
    <w:rsid w:val="001F447A"/>
    <w:rsid w:val="00202F2C"/>
    <w:rsid w:val="00207B89"/>
    <w:rsid w:val="00216638"/>
    <w:rsid w:val="00220E83"/>
    <w:rsid w:val="00226B21"/>
    <w:rsid w:val="00227BBF"/>
    <w:rsid w:val="002376E3"/>
    <w:rsid w:val="002377D3"/>
    <w:rsid w:val="00241C69"/>
    <w:rsid w:val="00247015"/>
    <w:rsid w:val="0027012D"/>
    <w:rsid w:val="002976F2"/>
    <w:rsid w:val="002A25E1"/>
    <w:rsid w:val="002A67F2"/>
    <w:rsid w:val="002B4BA1"/>
    <w:rsid w:val="002B7795"/>
    <w:rsid w:val="002C1B60"/>
    <w:rsid w:val="002C1FB5"/>
    <w:rsid w:val="002C21E0"/>
    <w:rsid w:val="002C31B9"/>
    <w:rsid w:val="002C3309"/>
    <w:rsid w:val="002C3CDF"/>
    <w:rsid w:val="002D30D9"/>
    <w:rsid w:val="002D7285"/>
    <w:rsid w:val="002E5272"/>
    <w:rsid w:val="002F4256"/>
    <w:rsid w:val="00313910"/>
    <w:rsid w:val="00316DE0"/>
    <w:rsid w:val="003261ED"/>
    <w:rsid w:val="003329A2"/>
    <w:rsid w:val="0034217D"/>
    <w:rsid w:val="00356DD7"/>
    <w:rsid w:val="00366BDC"/>
    <w:rsid w:val="00373232"/>
    <w:rsid w:val="00377926"/>
    <w:rsid w:val="00382DA4"/>
    <w:rsid w:val="003840A4"/>
    <w:rsid w:val="00384980"/>
    <w:rsid w:val="0038792D"/>
    <w:rsid w:val="003924F4"/>
    <w:rsid w:val="0039315D"/>
    <w:rsid w:val="00396C55"/>
    <w:rsid w:val="003A29D7"/>
    <w:rsid w:val="003A397E"/>
    <w:rsid w:val="003A4889"/>
    <w:rsid w:val="003B09DF"/>
    <w:rsid w:val="003B121F"/>
    <w:rsid w:val="003C2621"/>
    <w:rsid w:val="003C2A33"/>
    <w:rsid w:val="003D2BC4"/>
    <w:rsid w:val="003E4358"/>
    <w:rsid w:val="003F01A3"/>
    <w:rsid w:val="003F0422"/>
    <w:rsid w:val="003F0659"/>
    <w:rsid w:val="00406141"/>
    <w:rsid w:val="004070FD"/>
    <w:rsid w:val="00432C88"/>
    <w:rsid w:val="0044134A"/>
    <w:rsid w:val="00441917"/>
    <w:rsid w:val="00464A36"/>
    <w:rsid w:val="004652D3"/>
    <w:rsid w:val="00471B84"/>
    <w:rsid w:val="00471F2E"/>
    <w:rsid w:val="0047386F"/>
    <w:rsid w:val="00475535"/>
    <w:rsid w:val="00476F1D"/>
    <w:rsid w:val="00480748"/>
    <w:rsid w:val="00487586"/>
    <w:rsid w:val="00494EED"/>
    <w:rsid w:val="004A6FF9"/>
    <w:rsid w:val="004B0E1D"/>
    <w:rsid w:val="004B5020"/>
    <w:rsid w:val="004C1229"/>
    <w:rsid w:val="004C2E20"/>
    <w:rsid w:val="004C4CD5"/>
    <w:rsid w:val="004D67B3"/>
    <w:rsid w:val="004D747B"/>
    <w:rsid w:val="004E1210"/>
    <w:rsid w:val="004E2214"/>
    <w:rsid w:val="004F026F"/>
    <w:rsid w:val="004F1EB8"/>
    <w:rsid w:val="00517C5E"/>
    <w:rsid w:val="00542D97"/>
    <w:rsid w:val="0055684F"/>
    <w:rsid w:val="00556F13"/>
    <w:rsid w:val="00562F3D"/>
    <w:rsid w:val="00570227"/>
    <w:rsid w:val="005854A9"/>
    <w:rsid w:val="005871CE"/>
    <w:rsid w:val="0058771A"/>
    <w:rsid w:val="00591002"/>
    <w:rsid w:val="00593429"/>
    <w:rsid w:val="00597B72"/>
    <w:rsid w:val="005A1B86"/>
    <w:rsid w:val="005C038D"/>
    <w:rsid w:val="005C3C9E"/>
    <w:rsid w:val="005E24D2"/>
    <w:rsid w:val="005F5B91"/>
    <w:rsid w:val="00615DC0"/>
    <w:rsid w:val="0062040A"/>
    <w:rsid w:val="00620E53"/>
    <w:rsid w:val="00623797"/>
    <w:rsid w:val="006263FB"/>
    <w:rsid w:val="006318C3"/>
    <w:rsid w:val="00672DA5"/>
    <w:rsid w:val="00684688"/>
    <w:rsid w:val="00686396"/>
    <w:rsid w:val="00687CF5"/>
    <w:rsid w:val="006C6113"/>
    <w:rsid w:val="006E043F"/>
    <w:rsid w:val="006E54AA"/>
    <w:rsid w:val="006F2773"/>
    <w:rsid w:val="00721421"/>
    <w:rsid w:val="007262D4"/>
    <w:rsid w:val="007267C5"/>
    <w:rsid w:val="00735288"/>
    <w:rsid w:val="00764D46"/>
    <w:rsid w:val="00770FE3"/>
    <w:rsid w:val="00772D16"/>
    <w:rsid w:val="007730A9"/>
    <w:rsid w:val="007754AE"/>
    <w:rsid w:val="007759B1"/>
    <w:rsid w:val="00780577"/>
    <w:rsid w:val="0078058E"/>
    <w:rsid w:val="00791A26"/>
    <w:rsid w:val="00793F46"/>
    <w:rsid w:val="007B4A52"/>
    <w:rsid w:val="007B7C0A"/>
    <w:rsid w:val="007C19EF"/>
    <w:rsid w:val="007C225F"/>
    <w:rsid w:val="007D4BD0"/>
    <w:rsid w:val="007D5F4B"/>
    <w:rsid w:val="007E08CC"/>
    <w:rsid w:val="007F3110"/>
    <w:rsid w:val="0080570A"/>
    <w:rsid w:val="008121B2"/>
    <w:rsid w:val="008210F2"/>
    <w:rsid w:val="00836B41"/>
    <w:rsid w:val="00844EA1"/>
    <w:rsid w:val="008517EE"/>
    <w:rsid w:val="008524F3"/>
    <w:rsid w:val="00856530"/>
    <w:rsid w:val="00861921"/>
    <w:rsid w:val="00861F5C"/>
    <w:rsid w:val="0087282E"/>
    <w:rsid w:val="00882829"/>
    <w:rsid w:val="0088543D"/>
    <w:rsid w:val="008A5B3A"/>
    <w:rsid w:val="008A7F77"/>
    <w:rsid w:val="008B302A"/>
    <w:rsid w:val="008C1ED0"/>
    <w:rsid w:val="008C46C1"/>
    <w:rsid w:val="008D19C7"/>
    <w:rsid w:val="008F2FF6"/>
    <w:rsid w:val="008F60B7"/>
    <w:rsid w:val="00901BFC"/>
    <w:rsid w:val="00902534"/>
    <w:rsid w:val="00903D91"/>
    <w:rsid w:val="009077DE"/>
    <w:rsid w:val="00922F9C"/>
    <w:rsid w:val="00931CAE"/>
    <w:rsid w:val="00934FBF"/>
    <w:rsid w:val="00950394"/>
    <w:rsid w:val="00950FEA"/>
    <w:rsid w:val="009558A4"/>
    <w:rsid w:val="00965FD0"/>
    <w:rsid w:val="00966649"/>
    <w:rsid w:val="00977DE5"/>
    <w:rsid w:val="00980810"/>
    <w:rsid w:val="00982C0C"/>
    <w:rsid w:val="00982F80"/>
    <w:rsid w:val="0098472D"/>
    <w:rsid w:val="00994720"/>
    <w:rsid w:val="00997BB7"/>
    <w:rsid w:val="009A1C1D"/>
    <w:rsid w:val="009B2A82"/>
    <w:rsid w:val="009B2EF6"/>
    <w:rsid w:val="009C0BB4"/>
    <w:rsid w:val="009C13FA"/>
    <w:rsid w:val="009C3CEE"/>
    <w:rsid w:val="009E0A76"/>
    <w:rsid w:val="009F0F22"/>
    <w:rsid w:val="00A07DE4"/>
    <w:rsid w:val="00A16BBF"/>
    <w:rsid w:val="00A410B6"/>
    <w:rsid w:val="00A829A5"/>
    <w:rsid w:val="00A87B4F"/>
    <w:rsid w:val="00A978D7"/>
    <w:rsid w:val="00AA37C1"/>
    <w:rsid w:val="00AA675D"/>
    <w:rsid w:val="00AC06D5"/>
    <w:rsid w:val="00AC2431"/>
    <w:rsid w:val="00AC575D"/>
    <w:rsid w:val="00AD3A04"/>
    <w:rsid w:val="00AE1E1C"/>
    <w:rsid w:val="00AF0308"/>
    <w:rsid w:val="00B03243"/>
    <w:rsid w:val="00B11F54"/>
    <w:rsid w:val="00B15DFE"/>
    <w:rsid w:val="00B31751"/>
    <w:rsid w:val="00B37E11"/>
    <w:rsid w:val="00B469AC"/>
    <w:rsid w:val="00B5344D"/>
    <w:rsid w:val="00B541EF"/>
    <w:rsid w:val="00B57B1C"/>
    <w:rsid w:val="00B65CA6"/>
    <w:rsid w:val="00B67F1D"/>
    <w:rsid w:val="00B75871"/>
    <w:rsid w:val="00B7684D"/>
    <w:rsid w:val="00B920A7"/>
    <w:rsid w:val="00B97B74"/>
    <w:rsid w:val="00BA2223"/>
    <w:rsid w:val="00BA64E9"/>
    <w:rsid w:val="00BC25A2"/>
    <w:rsid w:val="00BC4E67"/>
    <w:rsid w:val="00BC4F97"/>
    <w:rsid w:val="00BF707E"/>
    <w:rsid w:val="00C028CA"/>
    <w:rsid w:val="00C117F5"/>
    <w:rsid w:val="00C152E3"/>
    <w:rsid w:val="00C170AB"/>
    <w:rsid w:val="00C201B4"/>
    <w:rsid w:val="00C33FFB"/>
    <w:rsid w:val="00C37E0B"/>
    <w:rsid w:val="00C402B6"/>
    <w:rsid w:val="00C4333D"/>
    <w:rsid w:val="00C4425B"/>
    <w:rsid w:val="00C61F58"/>
    <w:rsid w:val="00C65A3F"/>
    <w:rsid w:val="00C77041"/>
    <w:rsid w:val="00C851D5"/>
    <w:rsid w:val="00C87623"/>
    <w:rsid w:val="00C901F7"/>
    <w:rsid w:val="00CA45A4"/>
    <w:rsid w:val="00CA602C"/>
    <w:rsid w:val="00CB0031"/>
    <w:rsid w:val="00CB013A"/>
    <w:rsid w:val="00CC0920"/>
    <w:rsid w:val="00CC6599"/>
    <w:rsid w:val="00CC7259"/>
    <w:rsid w:val="00CD385F"/>
    <w:rsid w:val="00CD421A"/>
    <w:rsid w:val="00CD4398"/>
    <w:rsid w:val="00CD5100"/>
    <w:rsid w:val="00CD73A6"/>
    <w:rsid w:val="00CE455B"/>
    <w:rsid w:val="00CF26F0"/>
    <w:rsid w:val="00D038F0"/>
    <w:rsid w:val="00D06BCB"/>
    <w:rsid w:val="00D156CB"/>
    <w:rsid w:val="00D35F59"/>
    <w:rsid w:val="00D37509"/>
    <w:rsid w:val="00D414A8"/>
    <w:rsid w:val="00D41A3F"/>
    <w:rsid w:val="00D514DC"/>
    <w:rsid w:val="00D57493"/>
    <w:rsid w:val="00D57722"/>
    <w:rsid w:val="00D57C7B"/>
    <w:rsid w:val="00D66CCD"/>
    <w:rsid w:val="00D66D64"/>
    <w:rsid w:val="00D70709"/>
    <w:rsid w:val="00D71CF1"/>
    <w:rsid w:val="00D74049"/>
    <w:rsid w:val="00D80554"/>
    <w:rsid w:val="00D86891"/>
    <w:rsid w:val="00D9384C"/>
    <w:rsid w:val="00DA581C"/>
    <w:rsid w:val="00DC0132"/>
    <w:rsid w:val="00DC1041"/>
    <w:rsid w:val="00DC692B"/>
    <w:rsid w:val="00DE22C4"/>
    <w:rsid w:val="00DF6559"/>
    <w:rsid w:val="00E07CAE"/>
    <w:rsid w:val="00E138CA"/>
    <w:rsid w:val="00E14D25"/>
    <w:rsid w:val="00E212D5"/>
    <w:rsid w:val="00E2444A"/>
    <w:rsid w:val="00E25F93"/>
    <w:rsid w:val="00E2791A"/>
    <w:rsid w:val="00E328B5"/>
    <w:rsid w:val="00E630AE"/>
    <w:rsid w:val="00E633CD"/>
    <w:rsid w:val="00E6527D"/>
    <w:rsid w:val="00E65374"/>
    <w:rsid w:val="00E80404"/>
    <w:rsid w:val="00E82CCF"/>
    <w:rsid w:val="00EA3AA0"/>
    <w:rsid w:val="00EB2978"/>
    <w:rsid w:val="00EB6619"/>
    <w:rsid w:val="00EC4380"/>
    <w:rsid w:val="00ED0CED"/>
    <w:rsid w:val="00ED50B3"/>
    <w:rsid w:val="00EE2966"/>
    <w:rsid w:val="00EE4724"/>
    <w:rsid w:val="00F1242A"/>
    <w:rsid w:val="00F14D6C"/>
    <w:rsid w:val="00F27B09"/>
    <w:rsid w:val="00F30748"/>
    <w:rsid w:val="00F307DE"/>
    <w:rsid w:val="00F37A5D"/>
    <w:rsid w:val="00F54902"/>
    <w:rsid w:val="00F54EA8"/>
    <w:rsid w:val="00F57448"/>
    <w:rsid w:val="00F61C7C"/>
    <w:rsid w:val="00F70DCF"/>
    <w:rsid w:val="00F71050"/>
    <w:rsid w:val="00F72A04"/>
    <w:rsid w:val="00F76DCF"/>
    <w:rsid w:val="00F82DE5"/>
    <w:rsid w:val="00FA70BD"/>
    <w:rsid w:val="00FB4AD4"/>
    <w:rsid w:val="00FB5F6A"/>
    <w:rsid w:val="00FC15AD"/>
    <w:rsid w:val="00FC2FAE"/>
    <w:rsid w:val="00FC6EC6"/>
    <w:rsid w:val="00FD361E"/>
    <w:rsid w:val="00FD641D"/>
    <w:rsid w:val="00FE4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DF9185"/>
  <w15:docId w15:val="{09E36AFF-212E-47EF-971B-3193D9EB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paragraph" w:styleId="PargrafodaLista">
    <w:name w:val="List Paragraph"/>
    <w:basedOn w:val="Normal"/>
    <w:uiPriority w:val="34"/>
    <w:qFormat/>
    <w:rsid w:val="00471B84"/>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471B8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1B8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1B84"/>
    <w:rPr>
      <w:vertAlign w:val="superscript"/>
    </w:rPr>
  </w:style>
  <w:style w:type="paragraph" w:customStyle="1" w:styleId="Default">
    <w:name w:val="Default"/>
    <w:rsid w:val="00471B84"/>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Fontepargpadro"/>
    <w:uiPriority w:val="99"/>
    <w:semiHidden/>
    <w:unhideWhenUsed/>
    <w:rsid w:val="00D70709"/>
    <w:rPr>
      <w:color w:val="0000FF"/>
      <w:u w:val="single"/>
    </w:rPr>
  </w:style>
  <w:style w:type="character" w:styleId="Forte">
    <w:name w:val="Strong"/>
    <w:basedOn w:val="Fontepargpadro"/>
    <w:qFormat/>
    <w:rsid w:val="00D70709"/>
    <w:rPr>
      <w:b/>
      <w:bCs/>
    </w:rPr>
  </w:style>
  <w:style w:type="character" w:customStyle="1" w:styleId="apple-converted-space">
    <w:name w:val="apple-converted-space"/>
    <w:basedOn w:val="Fontepargpadro"/>
    <w:rsid w:val="00D70709"/>
  </w:style>
  <w:style w:type="character" w:styleId="nfase">
    <w:name w:val="Emphasis"/>
    <w:basedOn w:val="Fontepargpadro"/>
    <w:uiPriority w:val="20"/>
    <w:qFormat/>
    <w:rsid w:val="00D70709"/>
    <w:rPr>
      <w:i/>
      <w:iCs/>
    </w:rPr>
  </w:style>
  <w:style w:type="paragraph" w:styleId="NormalWeb">
    <w:name w:val="Normal (Web)"/>
    <w:basedOn w:val="Normal"/>
    <w:uiPriority w:val="99"/>
    <w:unhideWhenUsed/>
    <w:rsid w:val="008210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14D98"/>
    <w:pPr>
      <w:spacing w:after="0" w:line="360" w:lineRule="auto"/>
      <w:ind w:right="18" w:firstLine="1800"/>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114D98"/>
    <w:rPr>
      <w:rFonts w:ascii="Arial" w:eastAsia="Times New Roman" w:hAnsi="Arial" w:cs="Arial"/>
      <w:sz w:val="24"/>
      <w:szCs w:val="24"/>
      <w:lang w:eastAsia="pt-BR"/>
    </w:rPr>
  </w:style>
  <w:style w:type="paragraph" w:customStyle="1" w:styleId="p5">
    <w:name w:val="p5"/>
    <w:basedOn w:val="Normal"/>
    <w:rsid w:val="00114D98"/>
    <w:pPr>
      <w:widowControl w:val="0"/>
      <w:spacing w:after="0" w:line="200" w:lineRule="atLeast"/>
      <w:ind w:left="576" w:hanging="864"/>
      <w:jc w:val="both"/>
    </w:pPr>
    <w:rPr>
      <w:rFonts w:ascii="Times New Roman" w:eastAsia="Times New Roman" w:hAnsi="Times New Roman" w:cs="Times New Roman"/>
      <w:snapToGrid w:val="0"/>
      <w:sz w:val="24"/>
      <w:szCs w:val="20"/>
      <w:lang w:eastAsia="pt-BR"/>
    </w:rPr>
  </w:style>
  <w:style w:type="paragraph" w:customStyle="1" w:styleId="p32">
    <w:name w:val="p32"/>
    <w:basedOn w:val="Normal"/>
    <w:rsid w:val="00114D98"/>
    <w:pPr>
      <w:widowControl w:val="0"/>
      <w:tabs>
        <w:tab w:val="left" w:pos="540"/>
        <w:tab w:val="left" w:pos="860"/>
      </w:tabs>
      <w:spacing w:after="0" w:line="200" w:lineRule="atLeast"/>
      <w:ind w:left="576" w:hanging="288"/>
      <w:jc w:val="both"/>
    </w:pPr>
    <w:rPr>
      <w:rFonts w:ascii="Times New Roman" w:eastAsia="Times New Roman" w:hAnsi="Times New Roman" w:cs="Times New Roman"/>
      <w:snapToGrid w:val="0"/>
      <w:sz w:val="24"/>
      <w:szCs w:val="20"/>
      <w:lang w:eastAsia="pt-BR"/>
    </w:rPr>
  </w:style>
  <w:style w:type="paragraph" w:customStyle="1" w:styleId="p13">
    <w:name w:val="p13"/>
    <w:basedOn w:val="Normal"/>
    <w:rsid w:val="00114D98"/>
    <w:pPr>
      <w:widowControl w:val="0"/>
      <w:tabs>
        <w:tab w:val="left" w:pos="540"/>
        <w:tab w:val="left" w:pos="840"/>
      </w:tabs>
      <w:spacing w:after="0" w:line="200" w:lineRule="atLeast"/>
      <w:ind w:left="576" w:hanging="288"/>
      <w:jc w:val="both"/>
    </w:pPr>
    <w:rPr>
      <w:rFonts w:ascii="Times New Roman" w:eastAsia="Times New Roman" w:hAnsi="Times New Roman" w:cs="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231">
      <w:bodyDiv w:val="1"/>
      <w:marLeft w:val="0"/>
      <w:marRight w:val="0"/>
      <w:marTop w:val="0"/>
      <w:marBottom w:val="0"/>
      <w:divBdr>
        <w:top w:val="none" w:sz="0" w:space="0" w:color="auto"/>
        <w:left w:val="none" w:sz="0" w:space="0" w:color="auto"/>
        <w:bottom w:val="none" w:sz="0" w:space="0" w:color="auto"/>
        <w:right w:val="none" w:sz="0" w:space="0" w:color="auto"/>
      </w:divBdr>
    </w:div>
    <w:div w:id="559830427">
      <w:bodyDiv w:val="1"/>
      <w:marLeft w:val="0"/>
      <w:marRight w:val="0"/>
      <w:marTop w:val="0"/>
      <w:marBottom w:val="0"/>
      <w:divBdr>
        <w:top w:val="none" w:sz="0" w:space="0" w:color="auto"/>
        <w:left w:val="none" w:sz="0" w:space="0" w:color="auto"/>
        <w:bottom w:val="none" w:sz="0" w:space="0" w:color="auto"/>
        <w:right w:val="none" w:sz="0" w:space="0" w:color="auto"/>
      </w:divBdr>
    </w:div>
    <w:div w:id="690376874">
      <w:bodyDiv w:val="1"/>
      <w:marLeft w:val="0"/>
      <w:marRight w:val="0"/>
      <w:marTop w:val="0"/>
      <w:marBottom w:val="0"/>
      <w:divBdr>
        <w:top w:val="none" w:sz="0" w:space="0" w:color="auto"/>
        <w:left w:val="none" w:sz="0" w:space="0" w:color="auto"/>
        <w:bottom w:val="none" w:sz="0" w:space="0" w:color="auto"/>
        <w:right w:val="none" w:sz="0" w:space="0" w:color="auto"/>
      </w:divBdr>
    </w:div>
    <w:div w:id="1168713178">
      <w:bodyDiv w:val="1"/>
      <w:marLeft w:val="0"/>
      <w:marRight w:val="0"/>
      <w:marTop w:val="0"/>
      <w:marBottom w:val="0"/>
      <w:divBdr>
        <w:top w:val="none" w:sz="0" w:space="0" w:color="auto"/>
        <w:left w:val="none" w:sz="0" w:space="0" w:color="auto"/>
        <w:bottom w:val="none" w:sz="0" w:space="0" w:color="auto"/>
        <w:right w:val="none" w:sz="0" w:space="0" w:color="auto"/>
      </w:divBdr>
    </w:div>
    <w:div w:id="1220825441">
      <w:bodyDiv w:val="1"/>
      <w:marLeft w:val="0"/>
      <w:marRight w:val="0"/>
      <w:marTop w:val="0"/>
      <w:marBottom w:val="0"/>
      <w:divBdr>
        <w:top w:val="none" w:sz="0" w:space="0" w:color="auto"/>
        <w:left w:val="none" w:sz="0" w:space="0" w:color="auto"/>
        <w:bottom w:val="none" w:sz="0" w:space="0" w:color="auto"/>
        <w:right w:val="none" w:sz="0" w:space="0" w:color="auto"/>
      </w:divBdr>
    </w:div>
    <w:div w:id="1763796304">
      <w:bodyDiv w:val="1"/>
      <w:marLeft w:val="0"/>
      <w:marRight w:val="0"/>
      <w:marTop w:val="0"/>
      <w:marBottom w:val="0"/>
      <w:divBdr>
        <w:top w:val="none" w:sz="0" w:space="0" w:color="auto"/>
        <w:left w:val="none" w:sz="0" w:space="0" w:color="auto"/>
        <w:bottom w:val="none" w:sz="0" w:space="0" w:color="auto"/>
        <w:right w:val="none" w:sz="0" w:space="0" w:color="auto"/>
      </w:divBdr>
    </w:div>
    <w:div w:id="1782533998">
      <w:bodyDiv w:val="1"/>
      <w:marLeft w:val="0"/>
      <w:marRight w:val="0"/>
      <w:marTop w:val="0"/>
      <w:marBottom w:val="0"/>
      <w:divBdr>
        <w:top w:val="none" w:sz="0" w:space="0" w:color="auto"/>
        <w:left w:val="none" w:sz="0" w:space="0" w:color="auto"/>
        <w:bottom w:val="none" w:sz="0" w:space="0" w:color="auto"/>
        <w:right w:val="none" w:sz="0" w:space="0" w:color="auto"/>
      </w:divBdr>
    </w:div>
    <w:div w:id="2010020997">
      <w:bodyDiv w:val="1"/>
      <w:marLeft w:val="0"/>
      <w:marRight w:val="0"/>
      <w:marTop w:val="0"/>
      <w:marBottom w:val="0"/>
      <w:divBdr>
        <w:top w:val="none" w:sz="0" w:space="0" w:color="auto"/>
        <w:left w:val="none" w:sz="0" w:space="0" w:color="auto"/>
        <w:bottom w:val="none" w:sz="0" w:space="0" w:color="auto"/>
        <w:right w:val="none" w:sz="0" w:space="0" w:color="auto"/>
      </w:divBdr>
    </w:div>
    <w:div w:id="20866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r.stf.jus.br/paginadorpub/paginador.jsp?docTP=TP&amp;docID=1730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dir.stf.jus.br/paginadorpub/paginador.jsp?docTP=AC&amp;docID=6297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5349-AFF4-4151-A467-A0AA96F4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Anderson Abreu Rocha</dc:creator>
  <cp:keywords/>
  <cp:lastModifiedBy>Máneton Antunes de Macedo</cp:lastModifiedBy>
  <cp:revision>2</cp:revision>
  <cp:lastPrinted>2019-03-21T14:27:00Z</cp:lastPrinted>
  <dcterms:created xsi:type="dcterms:W3CDTF">2019-04-25T20:21:00Z</dcterms:created>
  <dcterms:modified xsi:type="dcterms:W3CDTF">2019-04-25T20:21:00Z</dcterms:modified>
</cp:coreProperties>
</file>