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ascii="Arial" w:hAnsi="Arial"/>
          <w:sz w:val="21"/>
        </w:rPr>
        <w:t xml:space="preserve">LEI Nº </w:t>
      </w:r>
      <w:r>
        <w:rPr>
          <w:rFonts w:ascii="Arial" w:hAnsi="Arial"/>
          <w:sz w:val="21"/>
        </w:rPr>
        <w:t>XXX</w:t>
      </w:r>
      <w:r>
        <w:rPr>
          <w:rFonts w:ascii="Arial" w:hAnsi="Arial"/>
          <w:sz w:val="21"/>
        </w:rPr>
        <w:t xml:space="preserve"> DE </w:t>
      </w:r>
      <w:r>
        <w:rPr>
          <w:rFonts w:ascii="Arial" w:hAnsi="Arial"/>
          <w:sz w:val="21"/>
        </w:rPr>
        <w:t>XX</w:t>
      </w:r>
      <w:r>
        <w:rPr>
          <w:rFonts w:ascii="Arial" w:hAnsi="Arial"/>
          <w:sz w:val="21"/>
        </w:rPr>
        <w:t xml:space="preserve"> DE DEZEMBRO DE </w:t>
      </w:r>
      <w:r>
        <w:rPr>
          <w:rFonts w:ascii="Arial" w:hAnsi="Arial"/>
          <w:sz w:val="21"/>
        </w:rPr>
        <w:t>2021</w:t>
      </w:r>
    </w:p>
    <w:p>
      <w:pPr>
        <w:pStyle w:val="Normal"/>
        <w:jc w:val="left"/>
        <w:rPr>
          <w:rFonts w:ascii="Arial" w:hAnsi="Arial"/>
          <w:sz w:val="21"/>
        </w:rPr>
      </w:pPr>
      <w:r>
        <w:rPr/>
      </w:r>
    </w:p>
    <w:p>
      <w:pPr>
        <w:pStyle w:val="Normal"/>
        <w:jc w:val="left"/>
        <w:rPr>
          <w:rFonts w:ascii="Arial" w:hAnsi="Arial"/>
          <w:sz w:val="21"/>
        </w:rPr>
      </w:pPr>
      <w:r>
        <w:rPr/>
      </w:r>
    </w:p>
    <w:p>
      <w:pPr>
        <w:pStyle w:val="Normal"/>
        <w:ind w:left="5669" w:right="0" w:hanging="0"/>
        <w:jc w:val="both"/>
        <w:rPr/>
      </w:pPr>
      <w:r>
        <w:rPr>
          <w:rFonts w:ascii="Arial" w:hAnsi="Arial"/>
          <w:sz w:val="21"/>
        </w:rPr>
        <w:t>Altera</w:t>
      </w:r>
      <w:r>
        <w:rPr>
          <w:rFonts w:ascii="Arial" w:hAnsi="Arial"/>
          <w:sz w:val="21"/>
        </w:rPr>
        <w:t xml:space="preserve"> o</w:t>
      </w:r>
      <w:r>
        <w:rPr>
          <w:rFonts w:ascii="Arial" w:hAnsi="Arial"/>
          <w:sz w:val="21"/>
        </w:rPr>
        <w:t>s</w:t>
      </w:r>
      <w:r>
        <w:rPr>
          <w:rFonts w:ascii="Arial" w:hAnsi="Arial"/>
          <w:sz w:val="21"/>
        </w:rPr>
        <w:t xml:space="preserve"> inciso</w:t>
      </w:r>
      <w:r>
        <w:rPr>
          <w:rFonts w:ascii="Arial" w:hAnsi="Arial"/>
          <w:sz w:val="21"/>
        </w:rPr>
        <w:t>s</w:t>
      </w:r>
      <w:r>
        <w:rPr>
          <w:rFonts w:ascii="Arial" w:hAnsi="Arial"/>
          <w:sz w:val="21"/>
        </w:rPr>
        <w:t xml:space="preserve"> II </w:t>
      </w:r>
      <w:r>
        <w:rPr>
          <w:rFonts w:ascii="Arial" w:hAnsi="Arial"/>
          <w:sz w:val="21"/>
        </w:rPr>
        <w:t>e III</w:t>
      </w:r>
      <w:r>
        <w:rPr>
          <w:rFonts w:ascii="Arial" w:hAnsi="Arial"/>
          <w:sz w:val="21"/>
        </w:rPr>
        <w:t xml:space="preserve"> e o §2º do</w:t>
      </w:r>
      <w:r>
        <w:rPr>
          <w:rFonts w:ascii="Arial" w:hAnsi="Arial"/>
          <w:sz w:val="21"/>
        </w:rPr>
        <w:t xml:space="preserve"> art. 7º- D da Lei nº 8.715 de 19 de novembro de 2007; </w:t>
      </w:r>
    </w:p>
    <w:p>
      <w:pPr>
        <w:pStyle w:val="Normal"/>
        <w:ind w:left="5669" w:right="0" w:hanging="0"/>
        <w:jc w:val="both"/>
        <w:rPr>
          <w:rFonts w:ascii="Arial" w:hAnsi="Arial"/>
          <w:sz w:val="21"/>
        </w:rPr>
      </w:pPr>
      <w:r>
        <w:rPr/>
      </w:r>
    </w:p>
    <w:p>
      <w:pPr>
        <w:pStyle w:val="Normal"/>
        <w:ind w:left="5669" w:right="0" w:hanging="0"/>
        <w:jc w:val="both"/>
        <w:rPr>
          <w:rFonts w:ascii="Arial" w:hAnsi="Arial"/>
          <w:sz w:val="21"/>
        </w:rPr>
      </w:pPr>
      <w:r>
        <w:rPr/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/>
          <w:sz w:val="21"/>
        </w:rPr>
        <w:t xml:space="preserve">Art. </w:t>
      </w:r>
      <w:r>
        <w:rPr>
          <w:rFonts w:ascii="Arial" w:hAnsi="Arial"/>
          <w:b w:val="false"/>
          <w:bCs/>
          <w:sz w:val="21"/>
        </w:rPr>
        <w:t>1</w:t>
      </w:r>
      <w:r>
        <w:rPr>
          <w:rFonts w:ascii="Arial" w:hAnsi="Arial"/>
          <w:b w:val="false"/>
          <w:bCs/>
          <w:sz w:val="21"/>
        </w:rPr>
        <w:t xml:space="preserve">º Alterar </w:t>
      </w:r>
      <w:r>
        <w:rPr>
          <w:rFonts w:ascii="Arial" w:hAnsi="Arial"/>
          <w:b w:val="false"/>
          <w:bCs/>
          <w:sz w:val="21"/>
        </w:rPr>
        <w:t>o</w:t>
      </w:r>
      <w:r>
        <w:rPr>
          <w:rFonts w:ascii="Arial" w:hAnsi="Arial"/>
          <w:b w:val="false"/>
          <w:bCs/>
          <w:sz w:val="21"/>
        </w:rPr>
        <w:t>s</w:t>
      </w:r>
      <w:r>
        <w:rPr>
          <w:rFonts w:ascii="Arial" w:hAnsi="Arial"/>
          <w:b w:val="false"/>
          <w:bCs/>
          <w:sz w:val="21"/>
        </w:rPr>
        <w:t xml:space="preserve"> inciso</w:t>
      </w:r>
      <w:r>
        <w:rPr>
          <w:rFonts w:ascii="Arial" w:hAnsi="Arial"/>
          <w:b w:val="false"/>
          <w:bCs/>
          <w:sz w:val="21"/>
        </w:rPr>
        <w:t>s</w:t>
      </w:r>
      <w:r>
        <w:rPr>
          <w:rFonts w:ascii="Arial" w:hAnsi="Arial"/>
          <w:b w:val="false"/>
          <w:bCs/>
          <w:sz w:val="21"/>
        </w:rPr>
        <w:t xml:space="preserve"> II </w:t>
      </w:r>
      <w:r>
        <w:rPr>
          <w:rFonts w:ascii="Arial" w:hAnsi="Arial"/>
          <w:b w:val="false"/>
          <w:bCs/>
          <w:sz w:val="21"/>
        </w:rPr>
        <w:t>e III</w:t>
      </w:r>
      <w:r>
        <w:rPr>
          <w:rFonts w:ascii="Arial" w:hAnsi="Arial"/>
          <w:b w:val="false"/>
          <w:bCs/>
          <w:sz w:val="21"/>
        </w:rPr>
        <w:t xml:space="preserve"> e o §2º do art. 7º- D  da Lei nº 8.715/2007, </w:t>
      </w:r>
      <w:r>
        <w:rPr>
          <w:rFonts w:ascii="Arial" w:hAnsi="Arial"/>
          <w:b w:val="false"/>
          <w:bCs/>
          <w:sz w:val="21"/>
        </w:rPr>
        <w:t>que passa</w:t>
      </w:r>
      <w:r>
        <w:rPr>
          <w:rFonts w:ascii="Arial" w:hAnsi="Arial"/>
          <w:b w:val="false"/>
          <w:bCs/>
          <w:sz w:val="21"/>
        </w:rPr>
        <w:t xml:space="preserve"> a vigorar com a seguinte redação:</w:t>
      </w:r>
    </w:p>
    <w:p>
      <w:pPr>
        <w:pStyle w:val="Normal"/>
        <w:ind w:left="0" w:right="0" w:hanging="0"/>
        <w:jc w:val="both"/>
        <w:rPr>
          <w:rFonts w:ascii="Arial" w:hAnsi="Arial"/>
          <w:bCs/>
          <w:sz w:val="21"/>
        </w:rPr>
      </w:pPr>
      <w:r>
        <w:rPr>
          <w:b w:val="false"/>
          <w:bCs w:val="false"/>
        </w:rPr>
      </w:r>
    </w:p>
    <w:p>
      <w:pPr>
        <w:pStyle w:val="Normal"/>
        <w:ind w:left="0" w:right="0" w:hanging="0"/>
        <w:jc w:val="both"/>
        <w:rPr>
          <w:rFonts w:ascii="Arial" w:hAnsi="Arial"/>
          <w:bCs/>
          <w:sz w:val="21"/>
        </w:rPr>
      </w:pPr>
      <w:r>
        <w:rPr>
          <w:b w:val="false"/>
          <w:bCs w:val="false"/>
        </w:rPr>
      </w:r>
    </w:p>
    <w:p>
      <w:pPr>
        <w:pStyle w:val="Normal"/>
        <w:ind w:left="1701" w:right="0" w:hanging="0"/>
        <w:jc w:val="both"/>
        <w:rPr>
          <w:b w:val="false"/>
          <w:b w:val="false"/>
          <w:bCs w:val="false"/>
          <w:color w:val="auto"/>
        </w:rPr>
      </w:pPr>
      <w:r>
        <w:rPr>
          <w:rFonts w:ascii="Arial" w:hAnsi="Arial"/>
          <w:b w:val="false"/>
          <w:bCs/>
          <w:color w:val="auto"/>
          <w:sz w:val="21"/>
        </w:rPr>
        <w:t>“</w:t>
      </w:r>
      <w:r>
        <w:rPr>
          <w:rFonts w:ascii="Arial" w:hAnsi="Arial"/>
          <w:b w:val="false"/>
          <w:bCs/>
          <w:color w:val="auto"/>
          <w:sz w:val="21"/>
        </w:rPr>
        <w:t xml:space="preserve">II - </w:t>
      </w:r>
      <w:r>
        <w:rPr>
          <w:rFonts w:ascii="Arial" w:hAnsi="Arial"/>
          <w:b w:val="false"/>
          <w:bCs/>
          <w:color w:val="auto"/>
          <w:sz w:val="21"/>
        </w:rPr>
        <w:t xml:space="preserve">em valor fixado por resolução do Tribunal de Justiça </w:t>
      </w:r>
      <w:r>
        <w:rPr>
          <w:rFonts w:ascii="Arial" w:hAnsi="Arial"/>
          <w:b w:val="false"/>
          <w:bCs/>
          <w:color w:val="auto"/>
          <w:sz w:val="21"/>
        </w:rPr>
        <w:t>sobre</w:t>
      </w:r>
      <w:r>
        <w:rPr>
          <w:rFonts w:ascii="Arial" w:hAnsi="Arial"/>
          <w:b w:val="false"/>
          <w:bCs/>
          <w:color w:val="auto"/>
          <w:sz w:val="21"/>
        </w:rPr>
        <w:t xml:space="preserve"> percentual </w:t>
      </w:r>
      <w:r>
        <w:rPr>
          <w:rFonts w:ascii="Arial" w:hAnsi="Arial"/>
          <w:b w:val="false"/>
          <w:bCs/>
          <w:color w:val="auto"/>
          <w:sz w:val="21"/>
        </w:rPr>
        <w:t>do vencimento base do cargo efetivo, a título de Gratificação de Produtividade Judiciária – GPJ, pelo alcance de metas de produtividade fixadas pelo Tribunal de Justiça;</w:t>
      </w:r>
    </w:p>
    <w:p>
      <w:pPr>
        <w:pStyle w:val="Normal"/>
        <w:ind w:left="1701" w:right="0" w:hanging="0"/>
        <w:jc w:val="both"/>
        <w:rPr>
          <w:rFonts w:ascii="Arial" w:hAnsi="Arial"/>
          <w:bCs/>
          <w:sz w:val="21"/>
        </w:rPr>
      </w:pPr>
      <w:r>
        <w:rPr>
          <w:b w:val="false"/>
          <w:bCs w:val="false"/>
          <w:color w:val="auto"/>
        </w:rPr>
      </w:r>
    </w:p>
    <w:p>
      <w:pPr>
        <w:pStyle w:val="Normal"/>
        <w:ind w:left="1701" w:right="0" w:hanging="0"/>
        <w:jc w:val="both"/>
        <w:rPr>
          <w:b w:val="false"/>
          <w:b w:val="false"/>
          <w:bCs w:val="false"/>
          <w:color w:val="auto"/>
        </w:rPr>
      </w:pPr>
      <w:r>
        <w:rPr>
          <w:rFonts w:ascii="Arial" w:hAnsi="Arial"/>
          <w:b w:val="false"/>
          <w:bCs/>
          <w:color w:val="auto"/>
          <w:sz w:val="21"/>
        </w:rPr>
        <w:t>II</w:t>
      </w:r>
      <w:r>
        <w:rPr>
          <w:rFonts w:ascii="Arial" w:hAnsi="Arial"/>
          <w:b w:val="false"/>
          <w:bCs/>
          <w:color w:val="auto"/>
          <w:sz w:val="21"/>
        </w:rPr>
        <w:t>I</w:t>
      </w:r>
      <w:r>
        <w:rPr>
          <w:rFonts w:ascii="Arial" w:hAnsi="Arial"/>
          <w:b w:val="false"/>
          <w:bCs/>
          <w:color w:val="auto"/>
          <w:sz w:val="21"/>
        </w:rPr>
        <w:t xml:space="preserve"> - </w:t>
      </w:r>
      <w:r>
        <w:rPr>
          <w:rFonts w:ascii="Arial" w:hAnsi="Arial"/>
          <w:b w:val="false"/>
          <w:bCs/>
          <w:color w:val="auto"/>
          <w:sz w:val="21"/>
        </w:rPr>
        <w:t xml:space="preserve">em valor fixado por resolução do Tribunal de Justiça </w:t>
      </w:r>
      <w:r>
        <w:rPr>
          <w:rFonts w:ascii="Arial" w:hAnsi="Arial"/>
          <w:b w:val="false"/>
          <w:bCs/>
          <w:color w:val="auto"/>
          <w:sz w:val="21"/>
        </w:rPr>
        <w:t>sobre</w:t>
      </w:r>
      <w:r>
        <w:rPr>
          <w:rFonts w:ascii="Arial" w:hAnsi="Arial"/>
          <w:b w:val="false"/>
          <w:bCs/>
          <w:color w:val="auto"/>
          <w:sz w:val="21"/>
        </w:rPr>
        <w:t xml:space="preserve"> percentual </w:t>
      </w:r>
      <w:r>
        <w:rPr>
          <w:rFonts w:ascii="Arial" w:hAnsi="Arial"/>
          <w:b w:val="false"/>
          <w:bCs/>
          <w:color w:val="auto"/>
          <w:sz w:val="21"/>
        </w:rPr>
        <w:t>do vencimento base do cargo de técnico judiciário, para os cargos comissionados de simbologia CDAI; e do vencimento base do cargo de analista judiciário, para os cargos comissionados de simbologias CDAS, CDGA e CNES; em ambos os casos a título de Gratificação de Produtividade Judiciária - GPJ, pelo alcance de metas de produtividade fixadas pelo Tribunal de Justiça.</w:t>
      </w:r>
    </w:p>
    <w:p>
      <w:pPr>
        <w:pStyle w:val="Normal"/>
        <w:ind w:left="1701" w:right="0" w:hanging="0"/>
        <w:jc w:val="both"/>
        <w:rPr>
          <w:rFonts w:ascii="Arial" w:hAnsi="Arial"/>
          <w:bCs/>
          <w:sz w:val="21"/>
        </w:rPr>
      </w:pPr>
      <w:r>
        <w:rPr>
          <w:b w:val="false"/>
          <w:bCs w:val="false"/>
          <w:color w:val="auto"/>
        </w:rPr>
      </w:r>
    </w:p>
    <w:p>
      <w:pPr>
        <w:pStyle w:val="Normal"/>
        <w:ind w:left="1701" w:right="0" w:hanging="0"/>
        <w:jc w:val="both"/>
        <w:rPr>
          <w:b w:val="false"/>
          <w:b w:val="false"/>
          <w:bCs w:val="false"/>
          <w:color w:val="auto"/>
        </w:rPr>
      </w:pPr>
      <w:r>
        <w:rPr>
          <w:rFonts w:ascii="Arial" w:hAnsi="Arial"/>
          <w:b w:val="false"/>
          <w:bCs/>
          <w:color w:val="auto"/>
          <w:sz w:val="21"/>
        </w:rPr>
        <w:t xml:space="preserve">§ 2º A Gratificação de Produtividade Judiciária - GPJ será paga </w:t>
      </w:r>
      <w:r>
        <w:rPr>
          <w:rFonts w:ascii="Arial" w:hAnsi="Arial"/>
          <w:b w:val="false"/>
          <w:bCs/>
          <w:color w:val="auto"/>
          <w:sz w:val="21"/>
        </w:rPr>
        <w:t>no ano subsequente à vigência das metas de produtividade, conforme resolução</w:t>
      </w:r>
      <w:r>
        <w:rPr>
          <w:rFonts w:ascii="Arial" w:hAnsi="Arial"/>
          <w:b w:val="false"/>
          <w:bCs/>
          <w:color w:val="auto"/>
          <w:sz w:val="21"/>
        </w:rPr>
        <w:t xml:space="preserve"> do Tribunal de Justiça após manifestação da Diretoria Financeira sobre a disponibilidade de recursos e impacto orçamentário”.</w:t>
      </w:r>
    </w:p>
    <w:p>
      <w:pPr>
        <w:pStyle w:val="Normal"/>
        <w:ind w:left="1701" w:right="0" w:hanging="0"/>
        <w:jc w:val="both"/>
        <w:rPr>
          <w:rFonts w:ascii="Arial" w:hAnsi="Arial"/>
          <w:bCs/>
          <w:sz w:val="21"/>
        </w:rPr>
      </w:pPr>
      <w:r>
        <w:rPr>
          <w:b w:val="false"/>
          <w:bCs w:val="false"/>
          <w:color w:val="auto"/>
        </w:rPr>
      </w:r>
    </w:p>
    <w:p>
      <w:pPr>
        <w:pStyle w:val="Normal"/>
        <w:ind w:left="1701" w:right="0" w:hanging="0"/>
        <w:jc w:val="both"/>
        <w:rPr>
          <w:rFonts w:ascii="Arial" w:hAnsi="Arial"/>
          <w:bCs/>
          <w:sz w:val="21"/>
        </w:rPr>
      </w:pPr>
      <w:r>
        <w:rPr>
          <w:b w:val="false"/>
          <w:bCs w:val="false"/>
          <w:color w:val="auto"/>
        </w:rPr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color w:val="auto"/>
        </w:rPr>
      </w:pPr>
      <w:r>
        <w:rPr>
          <w:rFonts w:ascii="Arial" w:hAnsi="Arial"/>
          <w:b w:val="false"/>
          <w:bCs/>
          <w:color w:val="auto"/>
          <w:sz w:val="21"/>
        </w:rPr>
        <w:t xml:space="preserve">Art. </w:t>
      </w:r>
      <w:r>
        <w:rPr>
          <w:rFonts w:ascii="Arial" w:hAnsi="Arial"/>
          <w:b w:val="false"/>
          <w:bCs/>
          <w:color w:val="auto"/>
          <w:sz w:val="21"/>
        </w:rPr>
        <w:t>2º</w:t>
      </w:r>
      <w:r>
        <w:rPr>
          <w:rFonts w:ascii="Arial" w:hAnsi="Arial"/>
          <w:b w:val="false"/>
          <w:bCs/>
          <w:color w:val="auto"/>
          <w:sz w:val="21"/>
        </w:rPr>
        <w:t xml:space="preserve">. Esta Lei entrará em vigor na data de sua publicação, revogadas as </w:t>
      </w:r>
      <w:r>
        <w:rPr>
          <w:rFonts w:ascii="Arial" w:hAnsi="Arial"/>
          <w:b w:val="false"/>
          <w:bCs w:val="false"/>
          <w:color w:val="auto"/>
          <w:sz w:val="21"/>
        </w:rPr>
        <w:t>disposições em contrário.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LibreOffice/5.4.2.2$Windows_X86_64 LibreOffice_project/22b09f6418e8c2d508a9eaf86b2399209b0990f4</Application>
  <Pages>1</Pages>
  <Words>224</Words>
  <Characters>1086</Characters>
  <CharactersWithSpaces>1306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2021-12-13T15:34:27Z</dcterms:created>
  <dc:creator/>
  <dc:description/>
  <dc:language>pt-BR</dc:language>
  <cp:lastModifiedBy/>
  <dcterms:modified xsi:type="dcterms:W3CDTF">2021-12-13T16:01:53Z</dcterms:modified>
  <cp:revision>1</cp:revision>
  <dc:subject/>
  <dc:title/>
</cp:coreProperties>
</file>