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C4" w:rsidRPr="002A780B" w:rsidRDefault="00757EC4" w:rsidP="00757E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A7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COMISSÃO DE CONSTITUIÇÃO, JUSTIÇA E </w:t>
      </w:r>
      <w:proofErr w:type="gramStart"/>
      <w:r w:rsidRPr="002A7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CIDADANIA</w:t>
      </w:r>
      <w:proofErr w:type="gramEnd"/>
    </w:p>
    <w:p w:rsidR="00757EC4" w:rsidRPr="002A780B" w:rsidRDefault="00757EC4" w:rsidP="00757E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8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Pr="002A7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123</w:t>
      </w:r>
      <w:r w:rsidRPr="002A7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/2015              </w:t>
      </w:r>
    </w:p>
    <w:p w:rsidR="00757EC4" w:rsidRDefault="00757EC4" w:rsidP="000148B2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71B84" w:rsidRPr="000148B2" w:rsidRDefault="00377926" w:rsidP="000148B2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138CA">
        <w:rPr>
          <w:rFonts w:ascii="Bookman Old Style" w:hAnsi="Bookman Old Style" w:cs="Times New Roman"/>
          <w:b/>
          <w:sz w:val="24"/>
          <w:szCs w:val="24"/>
          <w:u w:val="single"/>
        </w:rPr>
        <w:t>RELATÓRIO</w:t>
      </w:r>
      <w:r w:rsidR="00757EC4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</w:p>
    <w:p w:rsidR="00E138CA" w:rsidRPr="0068029C" w:rsidRDefault="00745FEA" w:rsidP="00E96599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Trata</w:t>
      </w:r>
      <w:r w:rsidR="00432C88" w:rsidRPr="00E138CA">
        <w:rPr>
          <w:rFonts w:ascii="Bookman Old Style" w:hAnsi="Bookman Old Style" w:cs="Times New Roman"/>
          <w:sz w:val="24"/>
          <w:szCs w:val="24"/>
        </w:rPr>
        <w:t xml:space="preserve">-se da análise da </w:t>
      </w:r>
      <w:r w:rsidR="008A5B3A" w:rsidRPr="00E138CA">
        <w:rPr>
          <w:rFonts w:ascii="Bookman Old Style" w:hAnsi="Bookman Old Style" w:cs="Times New Roman"/>
          <w:sz w:val="24"/>
          <w:szCs w:val="24"/>
        </w:rPr>
        <w:t xml:space="preserve">constitucionalidade, legalidade, </w:t>
      </w:r>
      <w:proofErr w:type="spellStart"/>
      <w:r w:rsidR="008A5B3A" w:rsidRPr="00E138CA">
        <w:rPr>
          <w:rFonts w:ascii="Bookman Old Style" w:hAnsi="Bookman Old Style" w:cs="Times New Roman"/>
          <w:sz w:val="24"/>
          <w:szCs w:val="24"/>
        </w:rPr>
        <w:t>regimentalidade</w:t>
      </w:r>
      <w:proofErr w:type="spellEnd"/>
      <w:r w:rsidR="008A5B3A" w:rsidRPr="00E138CA">
        <w:rPr>
          <w:rFonts w:ascii="Bookman Old Style" w:hAnsi="Bookman Old Style" w:cs="Times New Roman"/>
          <w:sz w:val="24"/>
          <w:szCs w:val="24"/>
        </w:rPr>
        <w:t>, juridicidade e</w:t>
      </w:r>
      <w:r w:rsidR="00432C88" w:rsidRPr="00E138CA">
        <w:rPr>
          <w:rFonts w:ascii="Bookman Old Style" w:hAnsi="Bookman Old Style" w:cs="Times New Roman"/>
          <w:sz w:val="24"/>
          <w:szCs w:val="24"/>
        </w:rPr>
        <w:t xml:space="preserve"> adequada técnica legislativa</w:t>
      </w:r>
      <w:r w:rsidR="008A5B3A" w:rsidRPr="00E138CA">
        <w:rPr>
          <w:rFonts w:ascii="Bookman Old Style" w:hAnsi="Bookman Old Style" w:cs="Times New Roman"/>
          <w:sz w:val="24"/>
          <w:szCs w:val="24"/>
        </w:rPr>
        <w:t xml:space="preserve"> do</w:t>
      </w:r>
      <w:r w:rsidR="00471B84" w:rsidRPr="00E138CA">
        <w:rPr>
          <w:rFonts w:ascii="Bookman Old Style" w:hAnsi="Bookman Old Style" w:cs="Times New Roman"/>
          <w:sz w:val="24"/>
          <w:szCs w:val="24"/>
        </w:rPr>
        <w:t xml:space="preserve"> </w:t>
      </w:r>
      <w:r w:rsidR="0068029C">
        <w:rPr>
          <w:rFonts w:ascii="Bookman Old Style" w:hAnsi="Bookman Old Style" w:cs="Times New Roman"/>
          <w:b/>
          <w:sz w:val="24"/>
          <w:szCs w:val="24"/>
          <w:u w:val="single"/>
        </w:rPr>
        <w:t>Projeto de Lei n° 088</w:t>
      </w:r>
      <w:r w:rsidR="00E96599" w:rsidRPr="008A616E">
        <w:rPr>
          <w:rFonts w:ascii="Bookman Old Style" w:hAnsi="Bookman Old Style" w:cs="Times New Roman"/>
          <w:b/>
          <w:sz w:val="24"/>
          <w:szCs w:val="24"/>
          <w:u w:val="single"/>
        </w:rPr>
        <w:t>/2015</w:t>
      </w:r>
      <w:r w:rsidR="00432C88" w:rsidRPr="00E96599">
        <w:rPr>
          <w:rFonts w:ascii="Bookman Old Style" w:hAnsi="Bookman Old Style" w:cs="Times New Roman"/>
          <w:sz w:val="24"/>
          <w:szCs w:val="24"/>
        </w:rPr>
        <w:t xml:space="preserve">, </w:t>
      </w:r>
      <w:r w:rsidR="00E138CA" w:rsidRPr="00E138CA">
        <w:rPr>
          <w:rFonts w:ascii="Bookman Old Style" w:hAnsi="Bookman Old Style" w:cs="Times New Roman"/>
          <w:sz w:val="24"/>
          <w:szCs w:val="24"/>
        </w:rPr>
        <w:t xml:space="preserve">objeto da </w:t>
      </w:r>
      <w:r w:rsidR="008A616E" w:rsidRPr="008A616E">
        <w:rPr>
          <w:rFonts w:ascii="Bookman Old Style" w:hAnsi="Bookman Old Style" w:cs="Times New Roman"/>
          <w:b/>
          <w:sz w:val="24"/>
          <w:szCs w:val="24"/>
          <w:u w:val="single"/>
        </w:rPr>
        <w:t>M</w:t>
      </w:r>
      <w:r w:rsidR="00E96599" w:rsidRPr="008A616E">
        <w:rPr>
          <w:rFonts w:ascii="Bookman Old Style" w:hAnsi="Bookman Old Style" w:cs="Times New Roman"/>
          <w:b/>
          <w:sz w:val="24"/>
          <w:szCs w:val="24"/>
          <w:u w:val="single"/>
        </w:rPr>
        <w:t>ensagem do Executivo n° 06</w:t>
      </w:r>
      <w:r w:rsidR="0068029C">
        <w:rPr>
          <w:rFonts w:ascii="Bookman Old Style" w:hAnsi="Bookman Old Style" w:cs="Times New Roman"/>
          <w:b/>
          <w:sz w:val="24"/>
          <w:szCs w:val="24"/>
          <w:u w:val="single"/>
        </w:rPr>
        <w:t>3</w:t>
      </w:r>
      <w:r w:rsidR="00E138CA" w:rsidRPr="008A616E">
        <w:rPr>
          <w:rFonts w:ascii="Bookman Old Style" w:hAnsi="Bookman Old Style" w:cs="Times New Roman"/>
          <w:b/>
          <w:sz w:val="24"/>
          <w:szCs w:val="24"/>
          <w:u w:val="single"/>
        </w:rPr>
        <w:t>/2014</w:t>
      </w:r>
      <w:r w:rsidR="00432C88" w:rsidRPr="00E96599">
        <w:rPr>
          <w:rFonts w:ascii="Bookman Old Style" w:hAnsi="Bookman Old Style" w:cs="Times New Roman"/>
          <w:sz w:val="24"/>
          <w:szCs w:val="24"/>
        </w:rPr>
        <w:t>,</w:t>
      </w:r>
      <w:r w:rsidR="00471B84" w:rsidRPr="00E96599">
        <w:rPr>
          <w:rFonts w:ascii="Bookman Old Style" w:hAnsi="Bookman Old Style" w:cs="Times New Roman"/>
          <w:sz w:val="24"/>
          <w:szCs w:val="24"/>
        </w:rPr>
        <w:t xml:space="preserve"> </w:t>
      </w:r>
      <w:r w:rsidR="00471B84" w:rsidRPr="00E138CA">
        <w:rPr>
          <w:rFonts w:ascii="Bookman Old Style" w:hAnsi="Bookman Old Style" w:cs="Times New Roman"/>
          <w:sz w:val="24"/>
          <w:szCs w:val="24"/>
        </w:rPr>
        <w:t>que</w:t>
      </w:r>
      <w:r w:rsidR="0068029C">
        <w:t xml:space="preserve"> </w:t>
      </w:r>
      <w:r w:rsidR="0068029C" w:rsidRPr="0068029C">
        <w:rPr>
          <w:rFonts w:ascii="Bookman Old Style" w:hAnsi="Bookman Old Style" w:cs="Times New Roman"/>
          <w:sz w:val="24"/>
          <w:szCs w:val="24"/>
        </w:rPr>
        <w:t xml:space="preserve">estabelece os percentuais a serem aplicados na cobrança da diferença entre a alíquota interna e a </w:t>
      </w:r>
      <w:r w:rsidR="0068029C">
        <w:rPr>
          <w:rFonts w:ascii="Bookman Old Style" w:hAnsi="Bookman Old Style" w:cs="Times New Roman"/>
          <w:sz w:val="24"/>
          <w:szCs w:val="24"/>
        </w:rPr>
        <w:t xml:space="preserve">interestadual nas </w:t>
      </w:r>
      <w:r w:rsidR="0068029C" w:rsidRPr="0068029C">
        <w:rPr>
          <w:rFonts w:ascii="Bookman Old Style" w:hAnsi="Bookman Old Style" w:cs="Times New Roman"/>
          <w:sz w:val="24"/>
          <w:szCs w:val="24"/>
        </w:rPr>
        <w:t>operações interestaduais de</w:t>
      </w:r>
      <w:r w:rsidR="0068029C">
        <w:rPr>
          <w:rFonts w:ascii="Bookman Old Style" w:hAnsi="Bookman Old Style" w:cs="Times New Roman"/>
          <w:sz w:val="24"/>
          <w:szCs w:val="24"/>
        </w:rPr>
        <w:t xml:space="preserve"> </w:t>
      </w:r>
      <w:r w:rsidR="0068029C" w:rsidRPr="0068029C">
        <w:rPr>
          <w:rFonts w:ascii="Bookman Old Style" w:hAnsi="Bookman Old Style" w:cs="Times New Roman"/>
          <w:sz w:val="24"/>
          <w:szCs w:val="24"/>
        </w:rPr>
        <w:t>mercadorias ou bens realizadas por micro e pequenas empresas maranhenses optantes pelo Simples Nacional.</w:t>
      </w:r>
    </w:p>
    <w:p w:rsidR="0068029C" w:rsidRPr="00E96599" w:rsidRDefault="0068029C" w:rsidP="00E96599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68029C">
        <w:rPr>
          <w:rFonts w:ascii="Bookman Old Style" w:hAnsi="Bookman Old Style" w:cs="Times New Roman"/>
          <w:sz w:val="24"/>
          <w:szCs w:val="24"/>
        </w:rPr>
        <w:t xml:space="preserve">Por último, </w:t>
      </w:r>
      <w:r w:rsidR="00B6693D">
        <w:rPr>
          <w:rFonts w:ascii="Bookman Old Style" w:hAnsi="Bookman Old Style" w:cs="Times New Roman"/>
          <w:sz w:val="24"/>
          <w:szCs w:val="24"/>
        </w:rPr>
        <w:t>dispõe que a</w:t>
      </w:r>
      <w:r w:rsidRPr="0068029C">
        <w:rPr>
          <w:rFonts w:ascii="Bookman Old Style" w:hAnsi="Bookman Old Style" w:cs="Times New Roman"/>
          <w:sz w:val="24"/>
          <w:szCs w:val="24"/>
        </w:rPr>
        <w:t xml:space="preserve"> Lei entra em vigor na data de sua publicação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CC20DD" w:rsidRDefault="003F2DAC" w:rsidP="003F2DAC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É o Relatório.</w:t>
      </w:r>
    </w:p>
    <w:p w:rsidR="003F2DAC" w:rsidRPr="00A87B4F" w:rsidRDefault="003F2DAC" w:rsidP="003F2DA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 xml:space="preserve">Como mencionado acima, analisar-se-á neste parecer à constitucionalidade, a legalidade, a </w:t>
      </w:r>
      <w:proofErr w:type="spellStart"/>
      <w:r w:rsidRPr="00A87B4F">
        <w:rPr>
          <w:rFonts w:ascii="Bookman Old Style" w:hAnsi="Bookman Old Style" w:cs="Times New Roman"/>
          <w:sz w:val="24"/>
          <w:szCs w:val="24"/>
        </w:rPr>
        <w:t>regimentalidade</w:t>
      </w:r>
      <w:proofErr w:type="spellEnd"/>
      <w:r w:rsidRPr="00A87B4F">
        <w:rPr>
          <w:rFonts w:ascii="Bookman Old Style" w:hAnsi="Bookman Old Style" w:cs="Times New Roman"/>
          <w:sz w:val="24"/>
          <w:szCs w:val="24"/>
        </w:rPr>
        <w:t xml:space="preserve">, a juridicidade e a adequada técnica legislativa </w:t>
      </w:r>
      <w:proofErr w:type="gramStart"/>
      <w:r w:rsidRPr="00A87B4F">
        <w:rPr>
          <w:rFonts w:ascii="Bookman Old Style" w:hAnsi="Bookman Old Style" w:cs="Times New Roman"/>
          <w:sz w:val="24"/>
          <w:szCs w:val="24"/>
        </w:rPr>
        <w:t>da presente</w:t>
      </w:r>
      <w:proofErr w:type="gramEnd"/>
      <w:r w:rsidRPr="00A87B4F">
        <w:rPr>
          <w:rFonts w:ascii="Bookman Old Style" w:hAnsi="Bookman Old Style" w:cs="Times New Roman"/>
          <w:sz w:val="24"/>
          <w:szCs w:val="24"/>
        </w:rPr>
        <w:t xml:space="preserve"> proposição, nos âmbitos formal e material. Referida análise far-se-á na ordem acima e, encontrando-se algum vício insanável, o mérito da matéria não poderá ser examinado, por mais relevante que seja.</w:t>
      </w:r>
    </w:p>
    <w:p w:rsidR="003F2DAC" w:rsidRPr="00A87B4F" w:rsidRDefault="003F2DAC" w:rsidP="003F2DA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>Inicialmente, deve-se verificar se a proposição apresentada é a adequada para a matéria. No caso em tela, o projeto que se apresenta é de Lei Ordinária, não tendo objeções constitucionais, legais, jurídicas ou regimentais quanto à sua escolha.</w:t>
      </w:r>
    </w:p>
    <w:p w:rsidR="003F2DAC" w:rsidRPr="00A87B4F" w:rsidRDefault="003F2DAC" w:rsidP="003F2DA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>A Constituição do Estado do Maranhão de 1989 (</w:t>
      </w:r>
      <w:proofErr w:type="spellStart"/>
      <w:r w:rsidRPr="00A87B4F">
        <w:rPr>
          <w:rFonts w:ascii="Bookman Old Style" w:hAnsi="Bookman Old Style" w:cs="Times New Roman"/>
          <w:sz w:val="24"/>
          <w:szCs w:val="24"/>
        </w:rPr>
        <w:t>arts</w:t>
      </w:r>
      <w:proofErr w:type="spellEnd"/>
      <w:r w:rsidRPr="00A87B4F">
        <w:rPr>
          <w:rFonts w:ascii="Bookman Old Style" w:hAnsi="Bookman Old Style" w:cs="Times New Roman"/>
          <w:sz w:val="24"/>
          <w:szCs w:val="24"/>
        </w:rPr>
        <w:t xml:space="preserve"> 40 a 49) preveem procedimentos a serem seguidos rigorosamente pelo legislador estadual quando da atuação </w:t>
      </w:r>
      <w:proofErr w:type="spellStart"/>
      <w:r w:rsidRPr="00A87B4F">
        <w:rPr>
          <w:rFonts w:ascii="Bookman Old Style" w:hAnsi="Bookman Old Style" w:cs="Times New Roman"/>
          <w:sz w:val="24"/>
          <w:szCs w:val="24"/>
        </w:rPr>
        <w:t>legiferante</w:t>
      </w:r>
      <w:proofErr w:type="spellEnd"/>
      <w:r w:rsidRPr="00A87B4F">
        <w:rPr>
          <w:rFonts w:ascii="Bookman Old Style" w:hAnsi="Bookman Old Style" w:cs="Times New Roman"/>
          <w:sz w:val="24"/>
          <w:szCs w:val="24"/>
        </w:rPr>
        <w:t xml:space="preserve">, </w:t>
      </w:r>
      <w:proofErr w:type="gramStart"/>
      <w:r w:rsidRPr="00A87B4F">
        <w:rPr>
          <w:rFonts w:ascii="Bookman Old Style" w:hAnsi="Bookman Old Style" w:cs="Times New Roman"/>
          <w:sz w:val="24"/>
          <w:szCs w:val="24"/>
        </w:rPr>
        <w:t>sob pena</w:t>
      </w:r>
      <w:proofErr w:type="gramEnd"/>
      <w:r w:rsidRPr="00A87B4F">
        <w:rPr>
          <w:rFonts w:ascii="Bookman Old Style" w:hAnsi="Bookman Old Style" w:cs="Times New Roman"/>
          <w:sz w:val="24"/>
          <w:szCs w:val="24"/>
        </w:rPr>
        <w:t xml:space="preserve"> de declaração de inconstitucionalidade formal da norma.</w:t>
      </w:r>
    </w:p>
    <w:p w:rsidR="003F2DAC" w:rsidRPr="00A87B4F" w:rsidRDefault="003F2DAC" w:rsidP="003F2DA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lastRenderedPageBreak/>
        <w:t>Segundo LENZA (2009, p. 385, Direito Constitucional Esquematizado), “o processo legislativo consiste nas regras procedimentais, constitucionalmente previstas, para a elaboração das espécies normativas, regras estas a serem criteriosamente observadas pelos ‘atores’ envolvidos no processo”.</w:t>
      </w:r>
    </w:p>
    <w:p w:rsidR="003F2DAC" w:rsidRPr="00A87B4F" w:rsidRDefault="003F2DAC" w:rsidP="003F2DA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>Na estrutura procedimental para a criação de uma Lei ordinária, apresentam-se constitucionalmente três fases: iniciativa, constitutiva e complementar.</w:t>
      </w:r>
    </w:p>
    <w:p w:rsidR="003F2DAC" w:rsidRPr="00A87B4F" w:rsidRDefault="003F2DAC" w:rsidP="003F2DAC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 xml:space="preserve">O próximo ponto de análise é a fase iniciativa que consiste em assegurar </w:t>
      </w:r>
      <w:proofErr w:type="gramStart"/>
      <w:r w:rsidRPr="00A87B4F">
        <w:rPr>
          <w:rFonts w:ascii="Bookman Old Style" w:hAnsi="Bookman Old Style" w:cs="Times New Roman"/>
          <w:sz w:val="24"/>
          <w:szCs w:val="24"/>
        </w:rPr>
        <w:t>a determinado</w:t>
      </w:r>
      <w:proofErr w:type="gramEnd"/>
      <w:r w:rsidRPr="00A87B4F">
        <w:rPr>
          <w:rFonts w:ascii="Bookman Old Style" w:hAnsi="Bookman Old Style" w:cs="Times New Roman"/>
          <w:sz w:val="24"/>
          <w:szCs w:val="24"/>
        </w:rPr>
        <w:t xml:space="preserve"> agente ou grupo de pessoas a propositura do ato normativo que especificar. </w:t>
      </w:r>
    </w:p>
    <w:p w:rsidR="003F2DAC" w:rsidRPr="00A87B4F" w:rsidRDefault="003F2DAC" w:rsidP="003F2DAC">
      <w:pPr>
        <w:spacing w:after="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>Por sua vez, o art. 42 da Constituição do Estado do Maranhão aduz que,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:rsidR="003F2DAC" w:rsidRPr="009A1C1D" w:rsidRDefault="003F2DAC" w:rsidP="003F2DAC">
      <w:pPr>
        <w:spacing w:after="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>Em sintonia com isso, a iniciativa reservada (privativa) do Chefe do Poder Executiva Estadual encontra-se no art. 43 da Constituição Estadual. Senão vejamos:</w:t>
      </w:r>
    </w:p>
    <w:p w:rsidR="003F2DAC" w:rsidRPr="00AC2431" w:rsidRDefault="003F2DAC" w:rsidP="00DD198C">
      <w:pPr>
        <w:autoSpaceDE w:val="0"/>
        <w:autoSpaceDN w:val="0"/>
        <w:adjustRightInd w:val="0"/>
        <w:ind w:left="1134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A87B4F">
        <w:rPr>
          <w:rFonts w:ascii="Bookman Old Style" w:hAnsi="Bookman Old Style" w:cs="Times New Roman"/>
          <w:color w:val="000000"/>
          <w:sz w:val="20"/>
          <w:szCs w:val="20"/>
        </w:rPr>
        <w:t xml:space="preserve"> “São de iniciativa privativa do Governador do Estado </w:t>
      </w:r>
      <w:proofErr w:type="gramStart"/>
      <w:r w:rsidRPr="00A87B4F">
        <w:rPr>
          <w:rFonts w:ascii="Bookman Old Style" w:hAnsi="Bookman Old Style" w:cs="Times New Roman"/>
          <w:color w:val="000000"/>
          <w:sz w:val="20"/>
          <w:szCs w:val="20"/>
        </w:rPr>
        <w:t>as</w:t>
      </w:r>
      <w:proofErr w:type="gramEnd"/>
      <w:r w:rsidRPr="00A87B4F">
        <w:rPr>
          <w:rFonts w:ascii="Bookman Old Style" w:hAnsi="Bookman Old Style" w:cs="Times New Roman"/>
          <w:color w:val="000000"/>
          <w:sz w:val="20"/>
          <w:szCs w:val="20"/>
        </w:rPr>
        <w:t xml:space="preserve"> leis que disponham sobre:”(...)</w:t>
      </w:r>
      <w:r w:rsidR="00DD198C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  <w:r w:rsidRPr="00A87B4F">
        <w:rPr>
          <w:rFonts w:ascii="Bookman Old Style" w:hAnsi="Bookman Old Style" w:cs="Times New Roman"/>
          <w:color w:val="000000"/>
          <w:sz w:val="20"/>
          <w:szCs w:val="20"/>
        </w:rPr>
        <w:t>III – organização administrativa e matéria orçamentária.(...)</w:t>
      </w:r>
      <w:r w:rsidR="00DD198C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  <w:r w:rsidRPr="00A87B4F">
        <w:rPr>
          <w:rFonts w:ascii="Bookman Old Style" w:hAnsi="Bookman Old Style" w:cs="Times New Roman"/>
          <w:color w:val="000000"/>
          <w:sz w:val="20"/>
          <w:szCs w:val="20"/>
        </w:rPr>
        <w:t>Parágrafo único- A iniciativa parlamentar sobre projetos envolvendo matéria tributaria só será permitida a projetos dos quais não decorra renuncia de receita. (</w:t>
      </w:r>
      <w:proofErr w:type="gramStart"/>
      <w:r w:rsidRPr="00A87B4F">
        <w:rPr>
          <w:rFonts w:ascii="Bookman Old Style" w:hAnsi="Bookman Old Style" w:cs="Times New Roman"/>
          <w:color w:val="000000"/>
          <w:sz w:val="20"/>
          <w:szCs w:val="20"/>
        </w:rPr>
        <w:t>acrescido pela Emenda à Constituição nº 068, de 28/08/2013).”</w:t>
      </w:r>
      <w:proofErr w:type="gramEnd"/>
    </w:p>
    <w:p w:rsidR="003F2DAC" w:rsidRDefault="003F2DAC" w:rsidP="003F2DAC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A87B4F">
        <w:rPr>
          <w:rFonts w:ascii="Bookman Old Style" w:hAnsi="Bookman Old Style" w:cs="Times New Roman"/>
          <w:sz w:val="24"/>
          <w:szCs w:val="24"/>
        </w:rPr>
        <w:t xml:space="preserve">Oportuna, como sempre, a lição de CARRAZA (2011, p. 304-305, Curso de Direito Constitucional </w:t>
      </w:r>
      <w:r>
        <w:rPr>
          <w:rFonts w:ascii="Bookman Old Style" w:hAnsi="Bookman Old Style" w:cs="Times New Roman"/>
          <w:sz w:val="24"/>
          <w:szCs w:val="24"/>
        </w:rPr>
        <w:t>Tributário), “</w:t>
      </w:r>
      <w:r w:rsidRPr="00684C03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 xml:space="preserve">Ora, só o chefe do Poder Executivo – Senhor do Erário e de suas conveniências – </w:t>
      </w:r>
      <w:r w:rsidRPr="00684C03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lastRenderedPageBreak/>
        <w:t xml:space="preserve">reúne condições objetiva para aquilatar os efeitos que, leis deste tipo, produzirão nas finanças públicas sob suas guarda e superior </w:t>
      </w:r>
      <w:proofErr w:type="gramStart"/>
      <w:r w:rsidRPr="00684C03">
        <w:rPr>
          <w:rFonts w:ascii="Bookman Old Style" w:hAnsi="Bookman Old Style" w:cs="Times New Roman"/>
          <w:b/>
          <w:color w:val="000000"/>
          <w:sz w:val="24"/>
          <w:szCs w:val="24"/>
          <w:u w:val="single"/>
        </w:rPr>
        <w:t>responsabilidade.</w:t>
      </w:r>
      <w:proofErr w:type="gramEnd"/>
      <w:r>
        <w:rPr>
          <w:rFonts w:ascii="Bookman Old Style" w:hAnsi="Bookman Old Style" w:cs="Times New Roman"/>
          <w:color w:val="000000"/>
          <w:sz w:val="24"/>
          <w:szCs w:val="24"/>
        </w:rPr>
        <w:t>(...)</w:t>
      </w:r>
      <w:r w:rsidRPr="00A87B4F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>”</w:t>
      </w:r>
    </w:p>
    <w:p w:rsidR="003F2DAC" w:rsidRDefault="00684C03" w:rsidP="003F2DAC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Dessa forma</w:t>
      </w:r>
      <w:r w:rsidR="003F2DAC" w:rsidRPr="00903D91">
        <w:rPr>
          <w:rFonts w:ascii="Bookman Old Style" w:hAnsi="Bookman Old Style" w:cs="Times New Roman"/>
          <w:sz w:val="24"/>
          <w:szCs w:val="24"/>
        </w:rPr>
        <w:t xml:space="preserve">, não há qualquer </w:t>
      </w:r>
      <w:r>
        <w:rPr>
          <w:rFonts w:ascii="Bookman Old Style" w:hAnsi="Bookman Old Style" w:cs="Times New Roman"/>
          <w:sz w:val="24"/>
          <w:szCs w:val="24"/>
        </w:rPr>
        <w:t>óbice formal ao Projeto de L</w:t>
      </w:r>
      <w:r w:rsidR="003F2DAC">
        <w:rPr>
          <w:rFonts w:ascii="Bookman Old Style" w:hAnsi="Bookman Old Style" w:cs="Times New Roman"/>
          <w:sz w:val="24"/>
          <w:szCs w:val="24"/>
        </w:rPr>
        <w:t>ei capaz de macular o processo legislativo</w:t>
      </w:r>
      <w:r w:rsidR="00DD198C">
        <w:rPr>
          <w:rFonts w:ascii="Bookman Old Style" w:hAnsi="Bookman Old Style" w:cs="Times New Roman"/>
          <w:sz w:val="24"/>
          <w:szCs w:val="24"/>
        </w:rPr>
        <w:t>.</w:t>
      </w:r>
    </w:p>
    <w:p w:rsidR="00FF0070" w:rsidRDefault="00CF0FE0" w:rsidP="00CF0FE0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No conteúdo</w:t>
      </w:r>
      <w:r w:rsidR="00FA1B59">
        <w:rPr>
          <w:rFonts w:ascii="Bookman Old Style" w:hAnsi="Bookman Old Style" w:cs="Times New Roman"/>
          <w:sz w:val="24"/>
          <w:szCs w:val="24"/>
        </w:rPr>
        <w:t xml:space="preserve">, é </w:t>
      </w:r>
      <w:r w:rsidR="00942D1E">
        <w:rPr>
          <w:rFonts w:ascii="Bookman Old Style" w:hAnsi="Bookman Old Style" w:cs="Times New Roman"/>
          <w:sz w:val="24"/>
          <w:szCs w:val="24"/>
        </w:rPr>
        <w:t>importante salientar que</w:t>
      </w:r>
      <w:r w:rsidR="00FA1B59">
        <w:rPr>
          <w:rFonts w:ascii="Bookman Old Style" w:hAnsi="Bookman Old Style" w:cs="Times New Roman"/>
          <w:sz w:val="24"/>
          <w:szCs w:val="24"/>
        </w:rPr>
        <w:t xml:space="preserve"> </w:t>
      </w:r>
      <w:r w:rsidR="00FA1B59" w:rsidRPr="00FA19D8">
        <w:rPr>
          <w:rFonts w:ascii="Bookman Old Style" w:hAnsi="Bookman Old Style" w:cs="Times New Roman"/>
          <w:sz w:val="24"/>
          <w:szCs w:val="24"/>
        </w:rPr>
        <w:t>o art. 150, II, da Constituição Federal de 1988, dispõe que é proibido instituir tratamento desigual a contribuintes que se encontram em situações equivalentes, sendo proibida qualquer distinção em razão de profissão ou função ocupada, independentemente da denominação jurídica dos rendimentos, títulos ou direitos.</w:t>
      </w:r>
      <w:r w:rsidR="00DD198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FA1B59" w:rsidRDefault="00FA1B59" w:rsidP="00CF0FE0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 w:rsidRPr="00FA19D8">
        <w:rPr>
          <w:rFonts w:ascii="Bookman Old Style" w:hAnsi="Bookman Old Style" w:cs="Times New Roman"/>
          <w:sz w:val="24"/>
          <w:szCs w:val="24"/>
        </w:rPr>
        <w:t>Nessa senda, Celso Bandeira de Melo aduz que (O conteúdo Jurídico do princípio da Igualdade, 3° edição, 2010, p. 10) “</w:t>
      </w:r>
      <w:r w:rsidRPr="005F5813">
        <w:rPr>
          <w:rFonts w:ascii="Bookman Old Style" w:hAnsi="Bookman Old Style" w:cs="Times New Roman"/>
          <w:b/>
          <w:sz w:val="24"/>
          <w:szCs w:val="24"/>
        </w:rPr>
        <w:t>A lei não deve ser fonte de privilégios ou perseguições, mas instrumento regulador da vida social que necessita tratar equitativamente todos os cidadãos</w:t>
      </w:r>
      <w:r w:rsidRPr="00FA19D8">
        <w:rPr>
          <w:rFonts w:ascii="Bookman Old Style" w:hAnsi="Bookman Old Style" w:cs="Times New Roman"/>
          <w:sz w:val="24"/>
          <w:szCs w:val="24"/>
        </w:rPr>
        <w:t>”.</w:t>
      </w:r>
    </w:p>
    <w:p w:rsidR="00FA1B59" w:rsidRDefault="00C052E2" w:rsidP="00CF0FE0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Em sintonia com isso</w:t>
      </w:r>
      <w:r w:rsidR="005E2D50">
        <w:rPr>
          <w:rFonts w:ascii="Bookman Old Style" w:hAnsi="Bookman Old Style" w:cs="Times New Roman"/>
          <w:sz w:val="24"/>
          <w:szCs w:val="24"/>
        </w:rPr>
        <w:t xml:space="preserve">, o estabelecimento de tratamento diferenciado por meio </w:t>
      </w:r>
      <w:r w:rsidRPr="005E2D50">
        <w:rPr>
          <w:rFonts w:ascii="Bookman Old Style" w:hAnsi="Bookman Old Style" w:cs="Times New Roman"/>
          <w:b/>
          <w:sz w:val="24"/>
          <w:szCs w:val="24"/>
          <w:u w:val="single"/>
        </w:rPr>
        <w:t>Simples Nacional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E2D50" w:rsidRPr="005E2D50">
        <w:rPr>
          <w:rFonts w:ascii="Bookman Old Style" w:hAnsi="Bookman Old Style" w:cs="Times New Roman"/>
          <w:b/>
          <w:sz w:val="24"/>
          <w:szCs w:val="24"/>
        </w:rPr>
        <w:t xml:space="preserve">visa à simplificação e à redução das obrigações dessas empresas, conferindo a elas um tratamento jurídico diferenciado, o qual guarda, ainda, </w:t>
      </w:r>
      <w:proofErr w:type="gramStart"/>
      <w:r w:rsidR="005E2D50" w:rsidRPr="005E2D50">
        <w:rPr>
          <w:rFonts w:ascii="Bookman Old Style" w:hAnsi="Bookman Old Style" w:cs="Times New Roman"/>
          <w:b/>
          <w:sz w:val="24"/>
          <w:szCs w:val="24"/>
          <w:u w:val="single"/>
        </w:rPr>
        <w:t>perfeita</w:t>
      </w:r>
      <w:proofErr w:type="gramEnd"/>
      <w:r w:rsidR="005E2D50" w:rsidRPr="005E2D5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consonância com os princípios da capacidade contributiva e da isonomia</w:t>
      </w:r>
      <w:r w:rsidR="005E2D50" w:rsidRPr="005E2D50">
        <w:rPr>
          <w:rFonts w:ascii="Arial" w:hAnsi="Arial" w:cs="Arial"/>
          <w:color w:val="000080"/>
          <w:sz w:val="20"/>
          <w:szCs w:val="20"/>
          <w:shd w:val="clear" w:color="auto" w:fill="FFFFFF"/>
        </w:rPr>
        <w:t xml:space="preserve"> </w:t>
      </w:r>
      <w:r w:rsidR="005E2D50" w:rsidRPr="005E2D50">
        <w:rPr>
          <w:rFonts w:ascii="Bookman Old Style" w:hAnsi="Bookman Old Style" w:cs="Times New Roman"/>
          <w:sz w:val="24"/>
          <w:szCs w:val="24"/>
        </w:rPr>
        <w:t>(</w:t>
      </w:r>
      <w:hyperlink r:id="rId9" w:history="1">
        <w:r w:rsidR="005E2D50" w:rsidRPr="005E2D50">
          <w:rPr>
            <w:rFonts w:ascii="Bookman Old Style" w:hAnsi="Bookman Old Style" w:cs="Times New Roman"/>
            <w:sz w:val="24"/>
            <w:szCs w:val="24"/>
          </w:rPr>
          <w:t>RE 627.543</w:t>
        </w:r>
      </w:hyperlink>
      <w:r w:rsidR="005E2D50" w:rsidRPr="005E2D50">
        <w:rPr>
          <w:rFonts w:ascii="Bookman Old Style" w:hAnsi="Bookman Old Style" w:cs="Times New Roman"/>
          <w:sz w:val="24"/>
          <w:szCs w:val="24"/>
        </w:rPr>
        <w:t>, rel. min. </w:t>
      </w:r>
      <w:r w:rsidR="005E2D50" w:rsidRPr="005E2D50">
        <w:rPr>
          <w:rFonts w:ascii="Bookman Old Style" w:hAnsi="Bookman Old Style" w:cs="Times New Roman"/>
          <w:b/>
          <w:bCs/>
          <w:sz w:val="24"/>
          <w:szCs w:val="24"/>
        </w:rPr>
        <w:t xml:space="preserve">Dias </w:t>
      </w:r>
      <w:proofErr w:type="spellStart"/>
      <w:r w:rsidR="005E2D50" w:rsidRPr="005E2D50">
        <w:rPr>
          <w:rFonts w:ascii="Bookman Old Style" w:hAnsi="Bookman Old Style" w:cs="Times New Roman"/>
          <w:b/>
          <w:bCs/>
          <w:sz w:val="24"/>
          <w:szCs w:val="24"/>
        </w:rPr>
        <w:t>Toffoli</w:t>
      </w:r>
      <w:proofErr w:type="spellEnd"/>
      <w:r w:rsidR="005E2D50" w:rsidRPr="005E2D50">
        <w:rPr>
          <w:rFonts w:ascii="Bookman Old Style" w:hAnsi="Bookman Old Style" w:cs="Times New Roman"/>
          <w:sz w:val="24"/>
          <w:szCs w:val="24"/>
        </w:rPr>
        <w:t>, julgamento em 30-10-2013, Plenário, </w:t>
      </w:r>
      <w:r w:rsidR="005E2D50" w:rsidRPr="005E2D50">
        <w:rPr>
          <w:rFonts w:ascii="Bookman Old Style" w:hAnsi="Bookman Old Style" w:cs="Times New Roman"/>
          <w:i/>
          <w:iCs/>
          <w:sz w:val="24"/>
          <w:szCs w:val="24"/>
        </w:rPr>
        <w:t>DJE</w:t>
      </w:r>
      <w:r w:rsidR="005E2D50" w:rsidRPr="005E2D50">
        <w:rPr>
          <w:rFonts w:ascii="Bookman Old Style" w:hAnsi="Bookman Old Style" w:cs="Times New Roman"/>
          <w:sz w:val="24"/>
          <w:szCs w:val="24"/>
        </w:rPr>
        <w:t> de 29-10-2014, com repercussão geral.)</w:t>
      </w:r>
      <w:r w:rsidR="005E2D50">
        <w:rPr>
          <w:rFonts w:ascii="Bookman Old Style" w:hAnsi="Bookman Old Style" w:cs="Times New Roman"/>
          <w:sz w:val="24"/>
          <w:szCs w:val="24"/>
        </w:rPr>
        <w:t>.</w:t>
      </w:r>
    </w:p>
    <w:p w:rsidR="007746C0" w:rsidRDefault="00616AFA" w:rsidP="00CF0FE0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Não podemos olvidar que a LC 123/2006 estabelece a possibilidade </w:t>
      </w:r>
      <w:r w:rsidR="007360BB">
        <w:rPr>
          <w:rFonts w:ascii="Bookman Old Style" w:hAnsi="Bookman Old Style" w:cs="Times New Roman"/>
          <w:sz w:val="24"/>
          <w:szCs w:val="24"/>
        </w:rPr>
        <w:t>opção</w:t>
      </w:r>
      <w:r>
        <w:rPr>
          <w:rFonts w:ascii="Bookman Old Style" w:hAnsi="Bookman Old Style" w:cs="Times New Roman"/>
          <w:sz w:val="24"/>
          <w:szCs w:val="24"/>
        </w:rPr>
        <w:t>, pelo Simples Nacional</w:t>
      </w:r>
      <w:r w:rsidR="007360BB">
        <w:rPr>
          <w:rFonts w:ascii="Bookman Old Style" w:hAnsi="Bookman Old Style" w:cs="Times New Roman"/>
          <w:sz w:val="24"/>
          <w:szCs w:val="24"/>
        </w:rPr>
        <w:t>, da microempresa e empresa</w:t>
      </w:r>
      <w:r>
        <w:rPr>
          <w:rFonts w:ascii="Bookman Old Style" w:hAnsi="Bookman Old Style" w:cs="Times New Roman"/>
          <w:sz w:val="24"/>
          <w:szCs w:val="24"/>
        </w:rPr>
        <w:t xml:space="preserve"> de pequeno porte para todo o ano calendário.</w:t>
      </w:r>
    </w:p>
    <w:p w:rsidR="005E2D50" w:rsidRDefault="00616AFA" w:rsidP="00CF0FE0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Nessa senda, existe precedente âmbito do Tribunal da Cidadania estabelecendo que</w:t>
      </w:r>
      <w:r w:rsidR="007746C0">
        <w:rPr>
          <w:rFonts w:ascii="Bookman Old Style" w:hAnsi="Bookman Old Style" w:cs="Times New Roman"/>
          <w:sz w:val="24"/>
          <w:szCs w:val="24"/>
        </w:rPr>
        <w:t xml:space="preserve"> a exigência do diferencial de alíquota </w:t>
      </w:r>
      <w:r w:rsidR="006D6C42">
        <w:rPr>
          <w:rFonts w:ascii="Bookman Old Style" w:hAnsi="Bookman Old Style" w:cs="Times New Roman"/>
          <w:sz w:val="24"/>
          <w:szCs w:val="24"/>
        </w:rPr>
        <w:lastRenderedPageBreak/>
        <w:t xml:space="preserve">estabelecido pelo art. 13, §1°, XIII, g, da Lei Complementar n° 123/2006, </w:t>
      </w:r>
      <w:r w:rsidR="007746C0" w:rsidRPr="00616AF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é autoaplicável para as empresas que optam pelo simples. </w:t>
      </w:r>
      <w:r w:rsidR="007746C0" w:rsidRPr="007360BB">
        <w:rPr>
          <w:rFonts w:ascii="Bookman Old Style" w:hAnsi="Bookman Old Style" w:cs="Times New Roman"/>
          <w:sz w:val="24"/>
          <w:szCs w:val="24"/>
        </w:rPr>
        <w:t>Senão vejamos</w:t>
      </w:r>
      <w:r w:rsidR="007746C0">
        <w:rPr>
          <w:rFonts w:ascii="Bookman Old Style" w:hAnsi="Bookman Old Style" w:cs="Times New Roman"/>
          <w:sz w:val="24"/>
          <w:szCs w:val="24"/>
        </w:rPr>
        <w:t>:</w:t>
      </w:r>
    </w:p>
    <w:p w:rsidR="00C052E2" w:rsidRDefault="007746C0" w:rsidP="00581FE9">
      <w:pPr>
        <w:spacing w:after="0" w:line="240" w:lineRule="auto"/>
        <w:ind w:left="1134"/>
        <w:jc w:val="both"/>
        <w:rPr>
          <w:rFonts w:ascii="Bookman Old Style" w:hAnsi="Bookman Old Style" w:cs="Times New Roman"/>
          <w:sz w:val="24"/>
          <w:szCs w:val="24"/>
        </w:rPr>
      </w:pPr>
      <w:r w:rsidRPr="007746C0">
        <w:rPr>
          <w:rFonts w:ascii="Bookman Old Style" w:hAnsi="Bookman Old Style" w:cs="Times New Roman"/>
          <w:sz w:val="24"/>
          <w:szCs w:val="24"/>
        </w:rPr>
        <w:t xml:space="preserve">TRIBUTÁRIO. SIMPLES NACIONAL. AQUISIÇÃO INTERESTADUAL DE </w:t>
      </w:r>
      <w:proofErr w:type="gramStart"/>
      <w:r w:rsidRPr="007746C0">
        <w:rPr>
          <w:rFonts w:ascii="Bookman Old Style" w:hAnsi="Bookman Old Style" w:cs="Times New Roman"/>
          <w:sz w:val="24"/>
          <w:szCs w:val="24"/>
        </w:rPr>
        <w:t>MERCADORIA.</w:t>
      </w:r>
      <w:proofErr w:type="gramEnd"/>
      <w:r w:rsidRPr="007746C0">
        <w:rPr>
          <w:rFonts w:ascii="Bookman Old Style" w:hAnsi="Bookman Old Style" w:cs="Times New Roman"/>
          <w:sz w:val="24"/>
          <w:szCs w:val="24"/>
        </w:rPr>
        <w:t xml:space="preserve">ALÍQUOTA INTERESTADUAL. ART. 13, § 1º, XIII, g, da LC </w:t>
      </w:r>
      <w:proofErr w:type="gramStart"/>
      <w:r w:rsidRPr="007746C0">
        <w:rPr>
          <w:rFonts w:ascii="Bookman Old Style" w:hAnsi="Bookman Old Style" w:cs="Times New Roman"/>
          <w:sz w:val="24"/>
          <w:szCs w:val="24"/>
        </w:rPr>
        <w:t>123/2002.</w:t>
      </w:r>
      <w:proofErr w:type="gramEnd"/>
      <w:r w:rsidRPr="007746C0">
        <w:rPr>
          <w:rFonts w:ascii="Bookman Old Style" w:hAnsi="Bookman Old Style" w:cs="Times New Roman"/>
          <w:sz w:val="24"/>
          <w:szCs w:val="24"/>
        </w:rPr>
        <w:t xml:space="preserve">EXIGIBILIDADE. </w:t>
      </w:r>
      <w:r>
        <w:rPr>
          <w:rFonts w:ascii="Bookman Old Style" w:hAnsi="Bookman Old Style" w:cs="Times New Roman"/>
          <w:sz w:val="24"/>
          <w:szCs w:val="24"/>
        </w:rPr>
        <w:t xml:space="preserve">[...] </w:t>
      </w:r>
      <w:proofErr w:type="gramStart"/>
      <w:r w:rsidRPr="007746C0">
        <w:rPr>
          <w:rFonts w:ascii="Bookman Old Style" w:hAnsi="Bookman Old Style" w:cs="Times New Roman"/>
          <w:sz w:val="24"/>
          <w:szCs w:val="24"/>
        </w:rPr>
        <w:t>5</w:t>
      </w:r>
      <w:proofErr w:type="gramEnd"/>
      <w:r w:rsidRPr="007746C0">
        <w:rPr>
          <w:rFonts w:ascii="Bookman Old Style" w:hAnsi="Bookman Old Style" w:cs="Times New Roman"/>
          <w:sz w:val="24"/>
          <w:szCs w:val="24"/>
        </w:rPr>
        <w:t xml:space="preserve">. A demanda recursal refere-se exclusivamente </w:t>
      </w:r>
      <w:r w:rsidRPr="00616AF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à análise do art. 13,§ 1º, XIII, g, da LC 123/2002, para aferir se a exigência do diferencial de alíquota é </w:t>
      </w:r>
      <w:proofErr w:type="spellStart"/>
      <w:proofErr w:type="gramStart"/>
      <w:r w:rsidRPr="00616AFA">
        <w:rPr>
          <w:rFonts w:ascii="Bookman Old Style" w:hAnsi="Bookman Old Style" w:cs="Times New Roman"/>
          <w:b/>
          <w:sz w:val="24"/>
          <w:szCs w:val="24"/>
          <w:u w:val="single"/>
        </w:rPr>
        <w:t>auto-aplicável</w:t>
      </w:r>
      <w:proofErr w:type="spellEnd"/>
      <w:proofErr w:type="gramEnd"/>
      <w:r w:rsidRPr="00616AFA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  <w:r w:rsidRPr="007746C0">
        <w:rPr>
          <w:rFonts w:ascii="Bookman Old Style" w:hAnsi="Bookman Old Style" w:cs="Times New Roman"/>
          <w:sz w:val="24"/>
          <w:szCs w:val="24"/>
        </w:rPr>
        <w:t xml:space="preserve"> 6. O diferencial de alíquota apenas garante ao Estado de destino aparcela que lhe cabe na partilha do ICMS sobre operações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 xml:space="preserve">interestaduais. </w:t>
      </w:r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>Caso não houvesse cobrança do diferencial, ocorreria grave distorção na sistemática nacional desse imposto. Isso porque a aquisição interestadual de mercadoria seria substancialmente menos onerosa do que a compra no próprio Estado, sujeita à alíquota interna "cheia"</w:t>
      </w:r>
      <w:r w:rsidRPr="007746C0">
        <w:rPr>
          <w:rFonts w:ascii="Bookman Old Style" w:hAnsi="Bookman Old Style" w:cs="Times New Roman"/>
          <w:sz w:val="24"/>
          <w:szCs w:val="24"/>
        </w:rPr>
        <w:t>. 7. Sobre um insumo, por ex., do Rio de Janeiro destinado a Minas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>Gerais, incide a alíquota interestadual de 12%. Se o mesmo insumo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 xml:space="preserve">for adquirido no próprio Estado, a alíquota interna é de 18%. 8. </w:t>
      </w:r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>A cobrança do diferencial de alíquota não onera a operação posterior, promovida pela empresa optante pelo Simples Nacional, apenas equaliza a anterior, realizada pelo fornecedor, de modo que o diferencial de 6%, nesse exemplo (= 18 - 12), seja recolhido aos cofres de Minas Gerais, minorando os efeitos da chamada "</w:t>
      </w:r>
      <w:proofErr w:type="spellStart"/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>guerrafiscal</w:t>
      </w:r>
      <w:proofErr w:type="spellEnd"/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". 9. Isso não viola a sistemática do Simples Nacional, não apenas porque a cobrança do diferencial é prevista expressamente pelo art. 13, § 1º, XIII, g, da LC 123/2002, mas também porque a impossibilidade de </w:t>
      </w:r>
      <w:proofErr w:type="spellStart"/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>creditamento</w:t>
      </w:r>
      <w:proofErr w:type="spellEnd"/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e compensação com as operações subsequentes </w:t>
      </w:r>
      <w:proofErr w:type="gramStart"/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>é vedada</w:t>
      </w:r>
      <w:proofErr w:type="gramEnd"/>
      <w:r w:rsidRPr="007746C0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em qualquer hipótese, e não apenas no caso do diferencial.</w:t>
      </w:r>
      <w:r w:rsidRPr="007746C0">
        <w:rPr>
          <w:rFonts w:ascii="Bookman Old Style" w:hAnsi="Bookman Old Style" w:cs="Times New Roman"/>
          <w:sz w:val="24"/>
          <w:szCs w:val="24"/>
        </w:rPr>
        <w:t xml:space="preserve"> 10. De fato, a legislação mineira não prevê a compensação do ICMS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>recolhido na entrada (diferencial de alíquota), o que é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>incontroverso, pela simples razão de que isso é expressamente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>obstado pelo art. 23, caput, da LC 123/2002.11. Ao negar eficácia ao disposto no art. 13, § 1º, XIII, g, da LC123/2002, o TJ-MG violou a lei federal, descaracterizando o próprio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746C0">
        <w:rPr>
          <w:rFonts w:ascii="Bookman Old Style" w:hAnsi="Bookman Old Style" w:cs="Times New Roman"/>
          <w:sz w:val="24"/>
          <w:szCs w:val="24"/>
        </w:rPr>
        <w:t xml:space="preserve">Simples Nacional, o que impõe a reforma do acórdão </w:t>
      </w:r>
      <w:proofErr w:type="gramStart"/>
      <w:r w:rsidRPr="007746C0">
        <w:rPr>
          <w:rFonts w:ascii="Bookman Old Style" w:hAnsi="Bookman Old Style" w:cs="Times New Roman"/>
          <w:sz w:val="24"/>
          <w:szCs w:val="24"/>
        </w:rPr>
        <w:t>recorrid</w:t>
      </w:r>
      <w:r>
        <w:rPr>
          <w:rFonts w:ascii="Bookman Old Style" w:hAnsi="Bookman Old Style" w:cs="Times New Roman"/>
          <w:sz w:val="24"/>
          <w:szCs w:val="24"/>
        </w:rPr>
        <w:t>o.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12. Recurso Especial provido. </w:t>
      </w:r>
      <w:r w:rsidRPr="007746C0">
        <w:rPr>
          <w:rFonts w:ascii="Bookman Old Style" w:hAnsi="Bookman Old Style" w:cs="Times New Roman"/>
          <w:sz w:val="24"/>
          <w:szCs w:val="24"/>
        </w:rPr>
        <w:t xml:space="preserve">(STJ - </w:t>
      </w:r>
      <w:proofErr w:type="spellStart"/>
      <w:proofErr w:type="gramStart"/>
      <w:r w:rsidRPr="007746C0">
        <w:rPr>
          <w:rFonts w:ascii="Bookman Old Style" w:hAnsi="Bookman Old Style" w:cs="Times New Roman"/>
          <w:sz w:val="24"/>
          <w:szCs w:val="24"/>
        </w:rPr>
        <w:t>REsp</w:t>
      </w:r>
      <w:proofErr w:type="spellEnd"/>
      <w:proofErr w:type="gramEnd"/>
      <w:r w:rsidRPr="007746C0">
        <w:rPr>
          <w:rFonts w:ascii="Bookman Old Style" w:hAnsi="Bookman Old Style" w:cs="Times New Roman"/>
          <w:sz w:val="24"/>
          <w:szCs w:val="24"/>
        </w:rPr>
        <w:t xml:space="preserve">: 1193911 MG 2010/0084018-0, Relator: Ministro HERMAN BENJAMIN, Data de Julgamento: </w:t>
      </w:r>
      <w:r w:rsidRPr="007746C0">
        <w:rPr>
          <w:rFonts w:ascii="Bookman Old Style" w:hAnsi="Bookman Old Style" w:cs="Times New Roman"/>
          <w:sz w:val="24"/>
          <w:szCs w:val="24"/>
        </w:rPr>
        <w:lastRenderedPageBreak/>
        <w:t xml:space="preserve">04/11/2010, T2 - SEGUNDA TURMA, Data de Publicação: </w:t>
      </w:r>
      <w:proofErr w:type="spellStart"/>
      <w:r w:rsidRPr="007746C0">
        <w:rPr>
          <w:rFonts w:ascii="Bookman Old Style" w:hAnsi="Bookman Old Style" w:cs="Times New Roman"/>
          <w:sz w:val="24"/>
          <w:szCs w:val="24"/>
        </w:rPr>
        <w:t>DJe</w:t>
      </w:r>
      <w:proofErr w:type="spellEnd"/>
      <w:r w:rsidRPr="007746C0">
        <w:rPr>
          <w:rFonts w:ascii="Bookman Old Style" w:hAnsi="Bookman Old Style" w:cs="Times New Roman"/>
          <w:sz w:val="24"/>
          <w:szCs w:val="24"/>
        </w:rPr>
        <w:t xml:space="preserve"> 02/02/2011)</w:t>
      </w:r>
    </w:p>
    <w:p w:rsidR="00581FE9" w:rsidRDefault="00581FE9" w:rsidP="00581FE9">
      <w:pPr>
        <w:spacing w:after="0" w:line="240" w:lineRule="auto"/>
        <w:ind w:left="1134"/>
        <w:jc w:val="both"/>
        <w:rPr>
          <w:rFonts w:ascii="Bookman Old Style" w:hAnsi="Bookman Old Style" w:cs="Times New Roman"/>
          <w:sz w:val="24"/>
          <w:szCs w:val="24"/>
        </w:rPr>
      </w:pPr>
    </w:p>
    <w:p w:rsidR="00942D1E" w:rsidRPr="00942D1E" w:rsidRDefault="004F7D7F" w:rsidP="00942D1E">
      <w:pPr>
        <w:spacing w:after="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Por esse prisma</w:t>
      </w:r>
      <w:r w:rsidR="00581FE9">
        <w:rPr>
          <w:rFonts w:ascii="Bookman Old Style" w:hAnsi="Bookman Old Style" w:cs="Times New Roman"/>
          <w:sz w:val="24"/>
          <w:szCs w:val="24"/>
        </w:rPr>
        <w:t xml:space="preserve">, </w:t>
      </w:r>
      <w:r w:rsidRPr="004F7D7F">
        <w:rPr>
          <w:rFonts w:ascii="Bookman Old Style" w:hAnsi="Bookman Old Style" w:cs="Times New Roman"/>
          <w:sz w:val="24"/>
          <w:szCs w:val="24"/>
        </w:rPr>
        <w:t>conforme disposto no art. 13,</w:t>
      </w:r>
      <w:r>
        <w:rPr>
          <w:rFonts w:ascii="Bookman Old Style" w:hAnsi="Bookman Old Style" w:cs="Times New Roman"/>
          <w:sz w:val="24"/>
          <w:szCs w:val="24"/>
        </w:rPr>
        <w:t xml:space="preserve"> inciso XIII, alínea “g” da LC n° </w:t>
      </w:r>
      <w:r w:rsidRPr="004F7D7F">
        <w:rPr>
          <w:rFonts w:ascii="Bookman Old Style" w:hAnsi="Bookman Old Style" w:cs="Times New Roman"/>
          <w:sz w:val="24"/>
          <w:szCs w:val="24"/>
        </w:rPr>
        <w:t>123</w:t>
      </w:r>
      <w:r>
        <w:rPr>
          <w:rFonts w:ascii="Bookman Old Style" w:hAnsi="Bookman Old Style" w:cs="Times New Roman"/>
          <w:sz w:val="24"/>
          <w:szCs w:val="24"/>
        </w:rPr>
        <w:t xml:space="preserve">, </w:t>
      </w:r>
      <w:r w:rsidR="00581FE9">
        <w:rPr>
          <w:rFonts w:ascii="Bookman Old Style" w:hAnsi="Bookman Old Style" w:cs="Times New Roman"/>
          <w:sz w:val="24"/>
          <w:szCs w:val="24"/>
        </w:rPr>
        <w:t xml:space="preserve">o Estado poderá atualizar a tabela estabelecida pela Lei Estadual n° </w:t>
      </w:r>
      <w:r w:rsidR="00942D1E" w:rsidRPr="00942D1E">
        <w:rPr>
          <w:rFonts w:ascii="Bookman Old Style" w:hAnsi="Bookman Old Style" w:cs="Times New Roman"/>
          <w:sz w:val="24"/>
          <w:szCs w:val="24"/>
        </w:rPr>
        <w:t>8.948</w:t>
      </w:r>
      <w:r w:rsidR="00581FE9">
        <w:rPr>
          <w:rFonts w:ascii="Bookman Old Style" w:hAnsi="Bookman Old Style" w:cs="Times New Roman"/>
          <w:sz w:val="24"/>
          <w:szCs w:val="24"/>
        </w:rPr>
        <w:t>/</w:t>
      </w:r>
      <w:r w:rsidR="00942D1E" w:rsidRPr="00942D1E">
        <w:rPr>
          <w:rFonts w:ascii="Bookman Old Style" w:hAnsi="Bookman Old Style" w:cs="Times New Roman"/>
          <w:sz w:val="24"/>
          <w:szCs w:val="24"/>
        </w:rPr>
        <w:t xml:space="preserve"> 2009</w:t>
      </w:r>
      <w:r w:rsidR="00581FE9">
        <w:rPr>
          <w:rFonts w:ascii="Bookman Old Style" w:hAnsi="Bookman Old Style" w:cs="Times New Roman"/>
          <w:sz w:val="24"/>
          <w:szCs w:val="24"/>
        </w:rPr>
        <w:t xml:space="preserve">, correspondente ao </w:t>
      </w:r>
      <w:r w:rsidR="00942D1E" w:rsidRPr="00942D1E">
        <w:rPr>
          <w:rFonts w:ascii="Bookman Old Style" w:hAnsi="Bookman Old Style" w:cs="Times New Roman"/>
          <w:sz w:val="24"/>
          <w:szCs w:val="24"/>
        </w:rPr>
        <w:t>percentuais a serem aplicados na cobrança da diferença entre a alíquota interna e a interestadual nas aquisições em outros Estados e Distrito Federal.</w:t>
      </w:r>
    </w:p>
    <w:p w:rsidR="00703EA5" w:rsidRDefault="00BD45E1" w:rsidP="00942D1E">
      <w:pPr>
        <w:spacing w:after="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Diante do exposto, observa-se que </w:t>
      </w:r>
      <w:r w:rsidR="007360BB">
        <w:rPr>
          <w:rFonts w:ascii="Bookman Old Style" w:hAnsi="Bookman Old Style" w:cs="Times New Roman"/>
          <w:sz w:val="24"/>
          <w:szCs w:val="24"/>
        </w:rPr>
        <w:t>a alteração encontra-se</w:t>
      </w:r>
      <w:r>
        <w:rPr>
          <w:rFonts w:ascii="Bookman Old Style" w:hAnsi="Bookman Old Style" w:cs="Times New Roman"/>
          <w:sz w:val="24"/>
          <w:szCs w:val="24"/>
        </w:rPr>
        <w:t xml:space="preserve"> em perfeita consonância com o Sistema Tributário Nacional.</w:t>
      </w:r>
    </w:p>
    <w:p w:rsidR="00942D1E" w:rsidRPr="00CC20DD" w:rsidRDefault="00942D1E" w:rsidP="00942D1E">
      <w:pPr>
        <w:spacing w:after="0"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</w:p>
    <w:p w:rsidR="00757EC4" w:rsidRPr="002A780B" w:rsidRDefault="00757EC4" w:rsidP="00757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A7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VOTO DO RELATOR:</w:t>
      </w:r>
    </w:p>
    <w:p w:rsidR="00966649" w:rsidRDefault="00757EC4" w:rsidP="00354CD8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Sendo assim</w:t>
      </w:r>
      <w:r w:rsidR="00354CD8" w:rsidRPr="00E138CA">
        <w:rPr>
          <w:rFonts w:ascii="Bookman Old Style" w:hAnsi="Bookman Old Style" w:cs="Times New Roman"/>
          <w:sz w:val="24"/>
          <w:szCs w:val="24"/>
        </w:rPr>
        <w:t xml:space="preserve">, e pela fundamentação supramencionada, somos pela aprovação do </w:t>
      </w:r>
      <w:r w:rsidR="00354CD8" w:rsidRPr="00B5344D">
        <w:rPr>
          <w:rFonts w:ascii="Bookman Old Style" w:hAnsi="Bookman Old Style" w:cs="Times New Roman"/>
          <w:b/>
          <w:sz w:val="24"/>
          <w:szCs w:val="24"/>
          <w:u w:val="single"/>
        </w:rPr>
        <w:t>Projeto de Lei</w:t>
      </w:r>
      <w:r w:rsidR="00BD45E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n° 088</w:t>
      </w:r>
      <w:r w:rsidR="00354CD8">
        <w:rPr>
          <w:rFonts w:ascii="Bookman Old Style" w:hAnsi="Bookman Old Style" w:cs="Times New Roman"/>
          <w:b/>
          <w:sz w:val="24"/>
          <w:szCs w:val="24"/>
          <w:u w:val="single"/>
        </w:rPr>
        <w:t>/2015</w:t>
      </w:r>
      <w:r w:rsidR="00354CD8" w:rsidRPr="00E138CA">
        <w:rPr>
          <w:rFonts w:ascii="Bookman Old Style" w:hAnsi="Bookman Old Style" w:cs="Times New Roman"/>
          <w:sz w:val="24"/>
          <w:szCs w:val="24"/>
        </w:rPr>
        <w:t xml:space="preserve">, por não possuir nenhum vício formal nem material de </w:t>
      </w:r>
      <w:r w:rsidR="00354CD8" w:rsidRPr="00EB2978">
        <w:rPr>
          <w:rFonts w:ascii="Bookman Old Style" w:hAnsi="Bookman Old Style" w:cs="Times New Roman"/>
          <w:sz w:val="24"/>
          <w:szCs w:val="24"/>
        </w:rPr>
        <w:t>inconstitucionalidade</w:t>
      </w:r>
      <w:r w:rsidR="00354CD8" w:rsidRPr="00E138CA">
        <w:rPr>
          <w:rFonts w:ascii="Bookman Old Style" w:hAnsi="Bookman Old Style" w:cs="Times New Roman"/>
          <w:sz w:val="24"/>
          <w:szCs w:val="24"/>
        </w:rPr>
        <w:t>.</w:t>
      </w:r>
    </w:p>
    <w:p w:rsidR="00757EC4" w:rsidRDefault="00757EC4" w:rsidP="00354CD8">
      <w:pPr>
        <w:spacing w:line="360" w:lineRule="auto"/>
        <w:ind w:firstLine="113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É o voto.</w:t>
      </w:r>
    </w:p>
    <w:p w:rsidR="00757EC4" w:rsidRPr="00757EC4" w:rsidRDefault="00757EC4" w:rsidP="00757E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</w:pPr>
      <w:r w:rsidRPr="00757EC4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  <w:t>PARECER DA COMISSÃO:</w:t>
      </w:r>
    </w:p>
    <w:p w:rsidR="00757EC4" w:rsidRPr="00757EC4" w:rsidRDefault="00757EC4" w:rsidP="00757EC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57EC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Os membros da Comissão de Constituição, Justiça e Cidadania votam pela aprovação do Projeto de Lei nº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088</w:t>
      </w:r>
      <w:r w:rsidRPr="00757EC4">
        <w:rPr>
          <w:rFonts w:ascii="Bookman Old Style" w:eastAsia="Times New Roman" w:hAnsi="Bookman Old Style" w:cs="Times New Roman"/>
          <w:sz w:val="24"/>
          <w:szCs w:val="24"/>
          <w:lang w:eastAsia="pt-BR"/>
        </w:rPr>
        <w:t>/2015, nos termos do voto do relator.</w:t>
      </w:r>
    </w:p>
    <w:p w:rsidR="00757EC4" w:rsidRPr="00757EC4" w:rsidRDefault="00757EC4" w:rsidP="00757EC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57EC4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 o parecer.</w:t>
      </w:r>
    </w:p>
    <w:p w:rsidR="00026B1F" w:rsidRDefault="00757EC4" w:rsidP="00757E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57EC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              SALA DAS COMISSÕES “DEPUTADO LÉO FRANKLIM”, em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26 </w:t>
      </w:r>
      <w:r w:rsidRPr="00757EC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de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maio</w:t>
      </w:r>
      <w:r w:rsidRPr="00757EC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2015.</w:t>
      </w:r>
      <w:r w:rsidRPr="00757EC4">
        <w:rPr>
          <w:rFonts w:ascii="Bookman Old Style" w:hAnsi="Bookman Old Style" w:cs="Times New Roman"/>
          <w:sz w:val="24"/>
          <w:szCs w:val="24"/>
        </w:rPr>
        <w:t xml:space="preserve">              </w:t>
      </w:r>
    </w:p>
    <w:p w:rsidR="00026B1F" w:rsidRPr="00026B1F" w:rsidRDefault="00026B1F" w:rsidP="00026B1F">
      <w:pPr>
        <w:pStyle w:val="Recuodecorpodetexto3"/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</w:t>
      </w:r>
      <w:r w:rsidRPr="00026B1F">
        <w:rPr>
          <w:rFonts w:ascii="Arial" w:hAnsi="Arial" w:cs="Arial"/>
          <w:sz w:val="24"/>
          <w:szCs w:val="24"/>
        </w:rPr>
        <w:t>Deputado Marco Aurélio- Presidente e Relator</w:t>
      </w:r>
    </w:p>
    <w:p w:rsidR="00026B1F" w:rsidRDefault="00026B1F" w:rsidP="00026B1F">
      <w:pPr>
        <w:spacing w:line="360" w:lineRule="auto"/>
        <w:ind w:firstLine="709"/>
        <w:rPr>
          <w:sz w:val="24"/>
          <w:szCs w:val="24"/>
        </w:rPr>
      </w:pPr>
      <w:r>
        <w:t xml:space="preserve">                                                   Deputado Paulo Neto</w:t>
      </w:r>
    </w:p>
    <w:p w:rsidR="00026B1F" w:rsidRDefault="00026B1F" w:rsidP="00026B1F">
      <w:pPr>
        <w:tabs>
          <w:tab w:val="left" w:pos="7085"/>
        </w:tabs>
        <w:spacing w:line="360" w:lineRule="auto"/>
        <w:ind w:firstLine="709"/>
      </w:pPr>
      <w:r>
        <w:t xml:space="preserve">                                                   Deputado Eduardo </w:t>
      </w:r>
      <w:proofErr w:type="spellStart"/>
      <w:r>
        <w:t>Braide</w:t>
      </w:r>
      <w:proofErr w:type="spellEnd"/>
    </w:p>
    <w:p w:rsidR="00026B1F" w:rsidRDefault="00026B1F" w:rsidP="00026B1F">
      <w:pPr>
        <w:spacing w:line="360" w:lineRule="auto"/>
        <w:ind w:firstLine="709"/>
      </w:pPr>
      <w:r>
        <w:t xml:space="preserve">                                                   Deputado Ricardo Rios</w:t>
      </w:r>
      <w:bookmarkStart w:id="0" w:name="_GoBack"/>
      <w:bookmarkEnd w:id="0"/>
    </w:p>
    <w:p w:rsidR="00026B1F" w:rsidRDefault="00026B1F" w:rsidP="00026B1F">
      <w:pPr>
        <w:spacing w:line="360" w:lineRule="auto"/>
        <w:ind w:firstLine="709"/>
      </w:pPr>
      <w:r>
        <w:t xml:space="preserve">                                                   Deputado Rogério Cafeteira</w:t>
      </w:r>
    </w:p>
    <w:p w:rsidR="00757EC4" w:rsidRPr="00757EC4" w:rsidRDefault="00026B1F" w:rsidP="00026B1F">
      <w:pPr>
        <w:spacing w:line="360" w:lineRule="auto"/>
        <w:ind w:firstLine="709"/>
        <w:rPr>
          <w:rFonts w:ascii="Bookman Old Style" w:hAnsi="Bookman Old Style" w:cs="Times New Roman"/>
          <w:sz w:val="24"/>
          <w:szCs w:val="24"/>
        </w:rPr>
      </w:pPr>
      <w:r>
        <w:t xml:space="preserve">                                                   Deputado Antônio Pereira</w:t>
      </w:r>
    </w:p>
    <w:sectPr w:rsidR="00757EC4" w:rsidRPr="00757EC4" w:rsidSect="00757EC4">
      <w:head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7D" w:rsidRDefault="0038047D" w:rsidP="001C4230">
      <w:pPr>
        <w:spacing w:after="0" w:line="240" w:lineRule="auto"/>
      </w:pPr>
      <w:r>
        <w:separator/>
      </w:r>
    </w:p>
  </w:endnote>
  <w:endnote w:type="continuationSeparator" w:id="0">
    <w:p w:rsidR="0038047D" w:rsidRDefault="0038047D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7D" w:rsidRDefault="0038047D" w:rsidP="001C4230">
      <w:pPr>
        <w:spacing w:after="0" w:line="240" w:lineRule="auto"/>
      </w:pPr>
      <w:r>
        <w:separator/>
      </w:r>
    </w:p>
  </w:footnote>
  <w:footnote w:type="continuationSeparator" w:id="0">
    <w:p w:rsidR="0038047D" w:rsidRDefault="0038047D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C4" w:rsidRPr="006E2172" w:rsidRDefault="00757EC4" w:rsidP="00757EC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60082D6C" wp14:editId="34C37016">
          <wp:extent cx="944245" cy="81915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EC4" w:rsidRPr="006E2172" w:rsidRDefault="00757EC4" w:rsidP="00757EC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ESTADO DO MARANHÃO</w:t>
    </w:r>
  </w:p>
  <w:p w:rsidR="00757EC4" w:rsidRPr="006E2172" w:rsidRDefault="00757EC4" w:rsidP="00757EC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ASSEMBLEIA LEGISLATIVA DO MARANHÃO</w:t>
    </w:r>
  </w:p>
  <w:p w:rsidR="00757EC4" w:rsidRPr="006E2172" w:rsidRDefault="00757EC4" w:rsidP="00757EC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b/>
        <w:sz w:val="20"/>
        <w:szCs w:val="20"/>
        <w:lang w:eastAsia="pt-BR"/>
      </w:rPr>
      <w:t>INSTALADA EM 16 DE FEVEREIRO DE 1835</w:t>
    </w:r>
  </w:p>
  <w:p w:rsidR="00757EC4" w:rsidRPr="006E2172" w:rsidRDefault="00757EC4" w:rsidP="00757EC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DIRETORIA LEGISLATIVA</w:t>
    </w:r>
  </w:p>
  <w:p w:rsidR="00757EC4" w:rsidRDefault="00757E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889"/>
    <w:rsid w:val="00026B1F"/>
    <w:rsid w:val="000362A4"/>
    <w:rsid w:val="00041B00"/>
    <w:rsid w:val="00047B59"/>
    <w:rsid w:val="00047C28"/>
    <w:rsid w:val="00055931"/>
    <w:rsid w:val="00061D25"/>
    <w:rsid w:val="00070734"/>
    <w:rsid w:val="000737E1"/>
    <w:rsid w:val="00084971"/>
    <w:rsid w:val="00084C12"/>
    <w:rsid w:val="00086A7A"/>
    <w:rsid w:val="00087A06"/>
    <w:rsid w:val="000907BB"/>
    <w:rsid w:val="000C135D"/>
    <w:rsid w:val="000C1DBF"/>
    <w:rsid w:val="000C61D1"/>
    <w:rsid w:val="000D4246"/>
    <w:rsid w:val="000D4355"/>
    <w:rsid w:val="000D44EF"/>
    <w:rsid w:val="000E767D"/>
    <w:rsid w:val="000F057F"/>
    <w:rsid w:val="000F0685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5C96"/>
    <w:rsid w:val="00155D87"/>
    <w:rsid w:val="001606D2"/>
    <w:rsid w:val="001610EE"/>
    <w:rsid w:val="001723AE"/>
    <w:rsid w:val="00177CE0"/>
    <w:rsid w:val="00182554"/>
    <w:rsid w:val="00191E1A"/>
    <w:rsid w:val="0019434B"/>
    <w:rsid w:val="0019434F"/>
    <w:rsid w:val="00195825"/>
    <w:rsid w:val="001B023F"/>
    <w:rsid w:val="001B2C77"/>
    <w:rsid w:val="001B4B01"/>
    <w:rsid w:val="001C212D"/>
    <w:rsid w:val="001C4230"/>
    <w:rsid w:val="001D476F"/>
    <w:rsid w:val="001E262C"/>
    <w:rsid w:val="001F1A1F"/>
    <w:rsid w:val="001F447A"/>
    <w:rsid w:val="00202F2C"/>
    <w:rsid w:val="00205A9A"/>
    <w:rsid w:val="00207B89"/>
    <w:rsid w:val="00211594"/>
    <w:rsid w:val="00211A29"/>
    <w:rsid w:val="00216638"/>
    <w:rsid w:val="00220E83"/>
    <w:rsid w:val="00226B21"/>
    <w:rsid w:val="00227BBF"/>
    <w:rsid w:val="002376E3"/>
    <w:rsid w:val="002377D3"/>
    <w:rsid w:val="002415C7"/>
    <w:rsid w:val="00241C69"/>
    <w:rsid w:val="00247015"/>
    <w:rsid w:val="0027012D"/>
    <w:rsid w:val="0027528A"/>
    <w:rsid w:val="002976F2"/>
    <w:rsid w:val="002A03C3"/>
    <w:rsid w:val="002A25E1"/>
    <w:rsid w:val="002A67F2"/>
    <w:rsid w:val="002B0142"/>
    <w:rsid w:val="002B7795"/>
    <w:rsid w:val="002C1B60"/>
    <w:rsid w:val="002C1FB5"/>
    <w:rsid w:val="002C3309"/>
    <w:rsid w:val="002C3CDF"/>
    <w:rsid w:val="002D30D9"/>
    <w:rsid w:val="002E5272"/>
    <w:rsid w:val="002E6065"/>
    <w:rsid w:val="002F1559"/>
    <w:rsid w:val="00313910"/>
    <w:rsid w:val="0031397F"/>
    <w:rsid w:val="00316DE0"/>
    <w:rsid w:val="00323E46"/>
    <w:rsid w:val="00324888"/>
    <w:rsid w:val="0032509D"/>
    <w:rsid w:val="003261ED"/>
    <w:rsid w:val="0034217D"/>
    <w:rsid w:val="00354CD8"/>
    <w:rsid w:val="00356DD7"/>
    <w:rsid w:val="0036385A"/>
    <w:rsid w:val="0036783D"/>
    <w:rsid w:val="00373232"/>
    <w:rsid w:val="00377926"/>
    <w:rsid w:val="0038047D"/>
    <w:rsid w:val="00382DA4"/>
    <w:rsid w:val="003840A4"/>
    <w:rsid w:val="00384980"/>
    <w:rsid w:val="00386213"/>
    <w:rsid w:val="003924F4"/>
    <w:rsid w:val="0039315D"/>
    <w:rsid w:val="00396C55"/>
    <w:rsid w:val="003A29D7"/>
    <w:rsid w:val="003A397E"/>
    <w:rsid w:val="003A4889"/>
    <w:rsid w:val="003B09DF"/>
    <w:rsid w:val="003B121F"/>
    <w:rsid w:val="003B7F1D"/>
    <w:rsid w:val="003C2621"/>
    <w:rsid w:val="003C2A33"/>
    <w:rsid w:val="003D2BC4"/>
    <w:rsid w:val="003E441E"/>
    <w:rsid w:val="003E4D3C"/>
    <w:rsid w:val="003E71F5"/>
    <w:rsid w:val="003F01A3"/>
    <w:rsid w:val="003F2DAC"/>
    <w:rsid w:val="00406141"/>
    <w:rsid w:val="004070FD"/>
    <w:rsid w:val="004109A3"/>
    <w:rsid w:val="00415F99"/>
    <w:rsid w:val="00432C88"/>
    <w:rsid w:val="0044134A"/>
    <w:rsid w:val="00441917"/>
    <w:rsid w:val="0044493D"/>
    <w:rsid w:val="00445380"/>
    <w:rsid w:val="004545E4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A6FF9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1EB8"/>
    <w:rsid w:val="004F3F36"/>
    <w:rsid w:val="004F7D7F"/>
    <w:rsid w:val="00521B21"/>
    <w:rsid w:val="00522FFA"/>
    <w:rsid w:val="005521DA"/>
    <w:rsid w:val="0055684F"/>
    <w:rsid w:val="00556F13"/>
    <w:rsid w:val="00562F3D"/>
    <w:rsid w:val="00570227"/>
    <w:rsid w:val="0057194C"/>
    <w:rsid w:val="00581FE9"/>
    <w:rsid w:val="005854A9"/>
    <w:rsid w:val="005871CE"/>
    <w:rsid w:val="00591002"/>
    <w:rsid w:val="00593429"/>
    <w:rsid w:val="00597B72"/>
    <w:rsid w:val="005A1B86"/>
    <w:rsid w:val="005A4D56"/>
    <w:rsid w:val="005B0F9D"/>
    <w:rsid w:val="005C038D"/>
    <w:rsid w:val="005C3C9E"/>
    <w:rsid w:val="005E2D50"/>
    <w:rsid w:val="005F5B91"/>
    <w:rsid w:val="00615DC0"/>
    <w:rsid w:val="00616AFA"/>
    <w:rsid w:val="0062040A"/>
    <w:rsid w:val="00620E53"/>
    <w:rsid w:val="006318C3"/>
    <w:rsid w:val="0064549D"/>
    <w:rsid w:val="00672DA5"/>
    <w:rsid w:val="0068029C"/>
    <w:rsid w:val="00684C03"/>
    <w:rsid w:val="00686396"/>
    <w:rsid w:val="00687CF5"/>
    <w:rsid w:val="006920D3"/>
    <w:rsid w:val="006B38F4"/>
    <w:rsid w:val="006D1932"/>
    <w:rsid w:val="006D6C42"/>
    <w:rsid w:val="006D7921"/>
    <w:rsid w:val="006E54AA"/>
    <w:rsid w:val="006F2773"/>
    <w:rsid w:val="006F58F9"/>
    <w:rsid w:val="007013B5"/>
    <w:rsid w:val="00703EA5"/>
    <w:rsid w:val="007063CB"/>
    <w:rsid w:val="00710405"/>
    <w:rsid w:val="007267C5"/>
    <w:rsid w:val="00735288"/>
    <w:rsid w:val="007360BB"/>
    <w:rsid w:val="00745FEA"/>
    <w:rsid w:val="00756F72"/>
    <w:rsid w:val="00757EC4"/>
    <w:rsid w:val="00764D46"/>
    <w:rsid w:val="00770FE3"/>
    <w:rsid w:val="00772D16"/>
    <w:rsid w:val="007730A9"/>
    <w:rsid w:val="007746C0"/>
    <w:rsid w:val="007749DD"/>
    <w:rsid w:val="007754AE"/>
    <w:rsid w:val="007759B1"/>
    <w:rsid w:val="00780577"/>
    <w:rsid w:val="0078058E"/>
    <w:rsid w:val="00787347"/>
    <w:rsid w:val="00791A26"/>
    <w:rsid w:val="00792230"/>
    <w:rsid w:val="00793F46"/>
    <w:rsid w:val="007B4A52"/>
    <w:rsid w:val="007B7C0A"/>
    <w:rsid w:val="007B7DEB"/>
    <w:rsid w:val="007C19EF"/>
    <w:rsid w:val="007C225F"/>
    <w:rsid w:val="007D4135"/>
    <w:rsid w:val="007D5F4B"/>
    <w:rsid w:val="007E0105"/>
    <w:rsid w:val="007E08CC"/>
    <w:rsid w:val="007F4FEB"/>
    <w:rsid w:val="007F6B9C"/>
    <w:rsid w:val="008019CB"/>
    <w:rsid w:val="008121B2"/>
    <w:rsid w:val="00813B12"/>
    <w:rsid w:val="008210F2"/>
    <w:rsid w:val="00836B41"/>
    <w:rsid w:val="00844EA1"/>
    <w:rsid w:val="008517EE"/>
    <w:rsid w:val="008524F3"/>
    <w:rsid w:val="00856530"/>
    <w:rsid w:val="00861F5C"/>
    <w:rsid w:val="008708FE"/>
    <w:rsid w:val="0087282E"/>
    <w:rsid w:val="0087734C"/>
    <w:rsid w:val="0088543D"/>
    <w:rsid w:val="00886FE7"/>
    <w:rsid w:val="0089397A"/>
    <w:rsid w:val="008A5B3A"/>
    <w:rsid w:val="008A616E"/>
    <w:rsid w:val="008A7F77"/>
    <w:rsid w:val="008B302A"/>
    <w:rsid w:val="008B69D2"/>
    <w:rsid w:val="008C1ED0"/>
    <w:rsid w:val="008C46C1"/>
    <w:rsid w:val="008D19C7"/>
    <w:rsid w:val="008F2FF6"/>
    <w:rsid w:val="008F60B7"/>
    <w:rsid w:val="00902534"/>
    <w:rsid w:val="00903D91"/>
    <w:rsid w:val="009077DE"/>
    <w:rsid w:val="00913319"/>
    <w:rsid w:val="00922F9C"/>
    <w:rsid w:val="00925EE9"/>
    <w:rsid w:val="00931CAE"/>
    <w:rsid w:val="00934FBF"/>
    <w:rsid w:val="00941837"/>
    <w:rsid w:val="00942D1E"/>
    <w:rsid w:val="00950394"/>
    <w:rsid w:val="00950FEA"/>
    <w:rsid w:val="009558A4"/>
    <w:rsid w:val="00962D37"/>
    <w:rsid w:val="00966649"/>
    <w:rsid w:val="00981C73"/>
    <w:rsid w:val="009824D4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D4FEB"/>
    <w:rsid w:val="009E0A76"/>
    <w:rsid w:val="009F0F22"/>
    <w:rsid w:val="00A16BBF"/>
    <w:rsid w:val="00A1750E"/>
    <w:rsid w:val="00A208CD"/>
    <w:rsid w:val="00A410B6"/>
    <w:rsid w:val="00A56FB8"/>
    <w:rsid w:val="00A829A5"/>
    <w:rsid w:val="00A87B4F"/>
    <w:rsid w:val="00A978D7"/>
    <w:rsid w:val="00AA37C1"/>
    <w:rsid w:val="00AA3A5F"/>
    <w:rsid w:val="00AA675D"/>
    <w:rsid w:val="00AC2431"/>
    <w:rsid w:val="00AD3A04"/>
    <w:rsid w:val="00AE1E1C"/>
    <w:rsid w:val="00AE212F"/>
    <w:rsid w:val="00AF0308"/>
    <w:rsid w:val="00AF42A6"/>
    <w:rsid w:val="00B03243"/>
    <w:rsid w:val="00B11F54"/>
    <w:rsid w:val="00B22186"/>
    <w:rsid w:val="00B31751"/>
    <w:rsid w:val="00B37E11"/>
    <w:rsid w:val="00B5344D"/>
    <w:rsid w:val="00B57B1C"/>
    <w:rsid w:val="00B6693D"/>
    <w:rsid w:val="00B67F1D"/>
    <w:rsid w:val="00B75871"/>
    <w:rsid w:val="00B7684D"/>
    <w:rsid w:val="00B920A7"/>
    <w:rsid w:val="00BA2223"/>
    <w:rsid w:val="00BA64E9"/>
    <w:rsid w:val="00BA6708"/>
    <w:rsid w:val="00BC25A2"/>
    <w:rsid w:val="00BC4E67"/>
    <w:rsid w:val="00BD45E1"/>
    <w:rsid w:val="00BE71A2"/>
    <w:rsid w:val="00BE75AC"/>
    <w:rsid w:val="00BF49C7"/>
    <w:rsid w:val="00BF5D38"/>
    <w:rsid w:val="00BF707E"/>
    <w:rsid w:val="00C03825"/>
    <w:rsid w:val="00C052E2"/>
    <w:rsid w:val="00C117F5"/>
    <w:rsid w:val="00C170AB"/>
    <w:rsid w:val="00C201B4"/>
    <w:rsid w:val="00C223DC"/>
    <w:rsid w:val="00C37E0B"/>
    <w:rsid w:val="00C41A40"/>
    <w:rsid w:val="00C4333D"/>
    <w:rsid w:val="00C4425B"/>
    <w:rsid w:val="00C44459"/>
    <w:rsid w:val="00C55CFF"/>
    <w:rsid w:val="00C61F58"/>
    <w:rsid w:val="00C72BC7"/>
    <w:rsid w:val="00C77041"/>
    <w:rsid w:val="00C80A98"/>
    <w:rsid w:val="00C851D5"/>
    <w:rsid w:val="00C87623"/>
    <w:rsid w:val="00C901F7"/>
    <w:rsid w:val="00CA3FD7"/>
    <w:rsid w:val="00CA45A4"/>
    <w:rsid w:val="00CA5D27"/>
    <w:rsid w:val="00CA602C"/>
    <w:rsid w:val="00CB0031"/>
    <w:rsid w:val="00CB013A"/>
    <w:rsid w:val="00CB2AA4"/>
    <w:rsid w:val="00CB5DA4"/>
    <w:rsid w:val="00CC0920"/>
    <w:rsid w:val="00CC20DD"/>
    <w:rsid w:val="00CC2460"/>
    <w:rsid w:val="00CC6599"/>
    <w:rsid w:val="00CC7259"/>
    <w:rsid w:val="00CD385F"/>
    <w:rsid w:val="00CD4398"/>
    <w:rsid w:val="00CD5100"/>
    <w:rsid w:val="00CD73A6"/>
    <w:rsid w:val="00CE455B"/>
    <w:rsid w:val="00CF0FE0"/>
    <w:rsid w:val="00CF26F0"/>
    <w:rsid w:val="00D038F0"/>
    <w:rsid w:val="00D06BCB"/>
    <w:rsid w:val="00D10F1E"/>
    <w:rsid w:val="00D156CB"/>
    <w:rsid w:val="00D35F59"/>
    <w:rsid w:val="00D37509"/>
    <w:rsid w:val="00D414A8"/>
    <w:rsid w:val="00D41A3F"/>
    <w:rsid w:val="00D514DC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1C44"/>
    <w:rsid w:val="00DA581C"/>
    <w:rsid w:val="00DB51AB"/>
    <w:rsid w:val="00DC692B"/>
    <w:rsid w:val="00DD198C"/>
    <w:rsid w:val="00DD6D8A"/>
    <w:rsid w:val="00DE2D79"/>
    <w:rsid w:val="00DF6559"/>
    <w:rsid w:val="00E06FE7"/>
    <w:rsid w:val="00E07CAE"/>
    <w:rsid w:val="00E11B3E"/>
    <w:rsid w:val="00E138CA"/>
    <w:rsid w:val="00E14D25"/>
    <w:rsid w:val="00E250CF"/>
    <w:rsid w:val="00E25F93"/>
    <w:rsid w:val="00E2791A"/>
    <w:rsid w:val="00E328B5"/>
    <w:rsid w:val="00E44D57"/>
    <w:rsid w:val="00E620E4"/>
    <w:rsid w:val="00E630AE"/>
    <w:rsid w:val="00E633CD"/>
    <w:rsid w:val="00E65374"/>
    <w:rsid w:val="00E80404"/>
    <w:rsid w:val="00E82CCF"/>
    <w:rsid w:val="00E94C16"/>
    <w:rsid w:val="00E96599"/>
    <w:rsid w:val="00EA3AA0"/>
    <w:rsid w:val="00EA5F23"/>
    <w:rsid w:val="00EB21C5"/>
    <w:rsid w:val="00EB2978"/>
    <w:rsid w:val="00EB6619"/>
    <w:rsid w:val="00EC4380"/>
    <w:rsid w:val="00ED0CED"/>
    <w:rsid w:val="00ED4138"/>
    <w:rsid w:val="00ED50B3"/>
    <w:rsid w:val="00ED545F"/>
    <w:rsid w:val="00EE2966"/>
    <w:rsid w:val="00EE4724"/>
    <w:rsid w:val="00F1242A"/>
    <w:rsid w:val="00F14D6C"/>
    <w:rsid w:val="00F27B09"/>
    <w:rsid w:val="00F30748"/>
    <w:rsid w:val="00F307DE"/>
    <w:rsid w:val="00F37A5D"/>
    <w:rsid w:val="00F40834"/>
    <w:rsid w:val="00F54902"/>
    <w:rsid w:val="00F57448"/>
    <w:rsid w:val="00F61C7C"/>
    <w:rsid w:val="00F626A3"/>
    <w:rsid w:val="00F71050"/>
    <w:rsid w:val="00F728D0"/>
    <w:rsid w:val="00F72A04"/>
    <w:rsid w:val="00F76DCF"/>
    <w:rsid w:val="00F82DE5"/>
    <w:rsid w:val="00FA12F3"/>
    <w:rsid w:val="00FA1B59"/>
    <w:rsid w:val="00FA70BD"/>
    <w:rsid w:val="00FB4AD4"/>
    <w:rsid w:val="00FB5F6A"/>
    <w:rsid w:val="00FC15AD"/>
    <w:rsid w:val="00FC2FAE"/>
    <w:rsid w:val="00FC6EC6"/>
    <w:rsid w:val="00FE4A4B"/>
    <w:rsid w:val="00FE5D9A"/>
    <w:rsid w:val="00FE641A"/>
    <w:rsid w:val="00FF007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57E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57EC4"/>
  </w:style>
  <w:style w:type="paragraph" w:styleId="Recuodecorpodetexto3">
    <w:name w:val="Body Text Indent 3"/>
    <w:basedOn w:val="Normal"/>
    <w:link w:val="Recuodecorpodetexto3Char"/>
    <w:semiHidden/>
    <w:unhideWhenUsed/>
    <w:rsid w:val="00026B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6B1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57E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57EC4"/>
  </w:style>
  <w:style w:type="paragraph" w:styleId="Recuodecorpodetexto3">
    <w:name w:val="Body Text Indent 3"/>
    <w:basedOn w:val="Normal"/>
    <w:link w:val="Recuodecorpodetexto3Char"/>
    <w:semiHidden/>
    <w:unhideWhenUsed/>
    <w:rsid w:val="00026B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6B1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dir.stf.jus.br/paginadorpub/paginador.jsp?docTP=TP&amp;docID=70664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6234-A64A-45BE-A76D-A8021700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maneton</cp:lastModifiedBy>
  <cp:revision>2</cp:revision>
  <cp:lastPrinted>2015-05-19T14:17:00Z</cp:lastPrinted>
  <dcterms:created xsi:type="dcterms:W3CDTF">2015-05-26T12:39:00Z</dcterms:created>
  <dcterms:modified xsi:type="dcterms:W3CDTF">2015-05-26T12:39:00Z</dcterms:modified>
</cp:coreProperties>
</file>