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Pr="00D8678D" w:rsidRDefault="00831854" w:rsidP="00D8678D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</w:t>
      </w:r>
      <w:r w:rsidR="007964B7">
        <w:rPr>
          <w:rFonts w:ascii="Arial Narrow" w:hAnsi="Arial Narrow" w:cs="Arial (W1)"/>
          <w:b/>
          <w:bCs/>
          <w:sz w:val="24"/>
          <w:szCs w:val="24"/>
        </w:rPr>
        <w:t>2</w:t>
      </w:r>
      <w:r w:rsidR="003D2ABF">
        <w:rPr>
          <w:rFonts w:ascii="Arial Narrow" w:hAnsi="Arial Narrow" w:cs="Arial (W1)"/>
          <w:b/>
          <w:bCs/>
          <w:sz w:val="24"/>
          <w:szCs w:val="24"/>
        </w:rPr>
        <w:t>2</w:t>
      </w:r>
    </w:p>
    <w:p w:rsidR="00E9242B" w:rsidRPr="00E9242B" w:rsidRDefault="00E9242B" w:rsidP="00E9242B">
      <w:pPr>
        <w:pStyle w:val="Corpodetexto"/>
        <w:spacing w:before="187"/>
        <w:ind w:left="4509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E9242B">
        <w:rPr>
          <w:rFonts w:ascii="Arial Narrow" w:eastAsia="Calibri" w:hAnsi="Arial Narrow" w:cs="Arial (W1)"/>
          <w:bCs/>
          <w:sz w:val="24"/>
          <w:szCs w:val="24"/>
        </w:rPr>
        <w:t>Dispõe sobre a obrigatoriedade de conservação e manutenção de elevadores e a confecção de Relatório de Inspeção Anual (RIA).</w:t>
      </w:r>
    </w:p>
    <w:p w:rsidR="003D2ABF" w:rsidRDefault="003D2ABF" w:rsidP="003D2ABF">
      <w:pPr>
        <w:pStyle w:val="Corpodetexto"/>
        <w:spacing w:before="8"/>
        <w:rPr>
          <w:sz w:val="23"/>
        </w:rPr>
      </w:pPr>
    </w:p>
    <w:p w:rsidR="00E9242B" w:rsidRDefault="00E9242B" w:rsidP="00E9242B">
      <w:pPr>
        <w:pStyle w:val="Corpodetexto"/>
        <w:ind w:left="115" w:right="114"/>
        <w:jc w:val="both"/>
      </w:pPr>
      <w:r w:rsidRPr="00E9242B">
        <w:rPr>
          <w:b/>
          <w:bCs/>
        </w:rPr>
        <w:t>Art. 1º</w:t>
      </w:r>
      <w:r w:rsidRPr="00E9242B">
        <w:t xml:space="preserve"> Os projetos, especificações técnicas, instalação, manutenção, conservação e atualização progressiva de elevadores, devem atender ao disposto nesta Lei, bem como as normas, especificações e prescrições da Associação Brasileira de Normas Técnicas – ABNT.</w:t>
      </w:r>
    </w:p>
    <w:p w:rsidR="00E9242B" w:rsidRDefault="00E9242B" w:rsidP="00E9242B">
      <w:pPr>
        <w:pStyle w:val="Corpodetexto"/>
        <w:spacing w:before="240"/>
        <w:ind w:left="115" w:right="114"/>
        <w:jc w:val="both"/>
      </w:pPr>
      <w:r w:rsidRPr="00E9242B">
        <w:rPr>
          <w:b/>
          <w:bCs/>
        </w:rPr>
        <w:t>Parágrafo único.</w:t>
      </w:r>
      <w:r w:rsidRPr="00E9242B">
        <w:t xml:space="preserve"> As normas editadas pela ABNT para os projetos, especificações técnicas e instalação de equipamentos, bem como a atualização progressiva dos equipamentos mencionados no caput, quando modificarem normas e padrões existentes deverão respeitar os atos jurídicos constituídos até o momento da vigência da respectiva norma.</w:t>
      </w:r>
    </w:p>
    <w:p w:rsidR="00E9242B" w:rsidRPr="00E9242B" w:rsidRDefault="00E9242B" w:rsidP="00E9242B">
      <w:pPr>
        <w:pStyle w:val="Corpodetexto"/>
        <w:spacing w:before="8"/>
      </w:pPr>
    </w:p>
    <w:p w:rsidR="00E9242B" w:rsidRDefault="00E9242B" w:rsidP="00E9242B">
      <w:pPr>
        <w:pStyle w:val="Corpodetexto"/>
        <w:spacing w:before="1"/>
        <w:ind w:left="115" w:right="114"/>
        <w:jc w:val="both"/>
      </w:pPr>
      <w:r w:rsidRPr="00E9242B">
        <w:rPr>
          <w:b/>
          <w:bCs/>
        </w:rPr>
        <w:t>Art. 2º</w:t>
      </w:r>
      <w:r w:rsidRPr="00E9242B">
        <w:t xml:space="preserve"> Os equipamentos de que trata o art. 1º desta Lei deverão ser submetidos a vistoria anual quanto à segurança, a ser realizada por empresa especializada, devidamente constituída e registrada no Conselho Regional de Engenharia e Agronomia – CREA, com a confecção do Relatório de Inspeção Anual (RIA).</w:t>
      </w:r>
    </w:p>
    <w:p w:rsidR="00E9242B" w:rsidRDefault="00E9242B" w:rsidP="00E9242B">
      <w:pPr>
        <w:pStyle w:val="Corpodetexto"/>
        <w:spacing w:before="240"/>
        <w:ind w:left="115"/>
        <w:jc w:val="both"/>
      </w:pPr>
      <w:r w:rsidRPr="00E9242B">
        <w:rPr>
          <w:b/>
          <w:bCs/>
        </w:rPr>
        <w:t>§ 1º</w:t>
      </w:r>
      <w:r w:rsidRPr="00E9242B">
        <w:t xml:space="preserve"> O profissional ou empresa emitirá o respectivo relatório, acompanhado da Anotação de Responsabilidade Técnica.</w:t>
      </w:r>
    </w:p>
    <w:p w:rsidR="00E9242B" w:rsidRDefault="00E9242B" w:rsidP="00E9242B">
      <w:pPr>
        <w:pStyle w:val="Corpodetexto"/>
        <w:spacing w:before="240"/>
        <w:ind w:left="115" w:right="112"/>
        <w:jc w:val="both"/>
      </w:pPr>
      <w:r w:rsidRPr="00E9242B">
        <w:rPr>
          <w:b/>
          <w:bCs/>
        </w:rPr>
        <w:t>§ 2º</w:t>
      </w:r>
      <w:r w:rsidRPr="00E9242B">
        <w:t xml:space="preserve"> O relatório conterá a identificação do elevador e de seu responsável, a metodologia utilizada, as informações sobre eventuais anomalias, suas características e prováveis causas, o prazo dentro do qual estarão garantidas as condições de segurança, o número máximo de pessoas que o elevador comporta e, sendo o caso, medidas reparadoras ou preventivas necessárias.</w:t>
      </w:r>
    </w:p>
    <w:p w:rsidR="00E9242B" w:rsidRDefault="00E9242B" w:rsidP="00E9242B">
      <w:pPr>
        <w:pStyle w:val="Corpodetexto"/>
        <w:spacing w:before="240"/>
        <w:ind w:left="115" w:right="115"/>
        <w:jc w:val="both"/>
      </w:pPr>
      <w:r w:rsidRPr="00E9242B">
        <w:rPr>
          <w:b/>
          <w:bCs/>
        </w:rPr>
        <w:t>§ 3º</w:t>
      </w:r>
      <w:r w:rsidRPr="00E9242B">
        <w:t xml:space="preserve"> A qualquer momento, a partir do início da realização da vistoria, sendo verificada a existência de risco imediato ou iminente para o público, o profissional e o responsável deverão informar imediatamente ao Poder Público e tomarão providências para o isolamento do elevador.</w:t>
      </w:r>
    </w:p>
    <w:p w:rsidR="00E9242B" w:rsidRDefault="00E9242B" w:rsidP="00E9242B">
      <w:pPr>
        <w:pStyle w:val="Corpodetexto"/>
        <w:spacing w:before="240"/>
        <w:ind w:left="115" w:right="114"/>
        <w:jc w:val="both"/>
      </w:pPr>
      <w:r w:rsidRPr="00E9242B">
        <w:rPr>
          <w:b/>
          <w:bCs/>
        </w:rPr>
        <w:t>§ 4º</w:t>
      </w:r>
      <w:r w:rsidRPr="00E9242B">
        <w:t xml:space="preserve"> No caso de o relatório concluir pela necessidade de quaisquer intervenções, o responsável pelo elevador deverá providenciar a execução dos serviços, no prazo estabelecido no relatório.</w:t>
      </w:r>
    </w:p>
    <w:p w:rsidR="00E9242B" w:rsidRDefault="00E9242B" w:rsidP="00E9242B">
      <w:pPr>
        <w:pStyle w:val="Corpodetexto"/>
        <w:spacing w:before="240"/>
        <w:ind w:left="115" w:right="116"/>
        <w:jc w:val="both"/>
      </w:pPr>
      <w:r w:rsidRPr="00E9242B">
        <w:rPr>
          <w:b/>
          <w:bCs/>
        </w:rPr>
        <w:t>§ 5º</w:t>
      </w:r>
      <w:r w:rsidRPr="00E9242B">
        <w:t xml:space="preserve"> O responsável pelo elevador deverá dar conhecimento do Relatório de Inspeção Anual (RIA) aos condôminos, quando houver, e exibi-lo à autoridade competente quando requisitado, além de mantê-lo em arquivo, por cinco anos.</w:t>
      </w:r>
    </w:p>
    <w:p w:rsidR="00E9242B" w:rsidRPr="00E9242B" w:rsidRDefault="00E9242B" w:rsidP="00E9242B">
      <w:pPr>
        <w:pStyle w:val="Corpodetexto"/>
        <w:spacing w:line="278" w:lineRule="auto"/>
        <w:ind w:left="110" w:right="106"/>
        <w:jc w:val="both"/>
      </w:pPr>
      <w:r w:rsidRPr="00E9242B">
        <w:rPr>
          <w:b/>
          <w:bCs/>
        </w:rPr>
        <w:lastRenderedPageBreak/>
        <w:t>§ 6º</w:t>
      </w:r>
      <w:r w:rsidRPr="00E9242B">
        <w:t xml:space="preserve"> O não cumprimento do que dispõe o caput deste artigo implicará a imediata interdição do equipamento pelo poder público.</w:t>
      </w:r>
    </w:p>
    <w:p w:rsidR="00E9242B" w:rsidRDefault="00E9242B" w:rsidP="00E9242B">
      <w:pPr>
        <w:pStyle w:val="Corpodetexto"/>
        <w:spacing w:before="100"/>
        <w:ind w:left="115" w:right="114"/>
        <w:jc w:val="both"/>
      </w:pPr>
      <w:r w:rsidRPr="00E9242B">
        <w:rPr>
          <w:b/>
          <w:bCs/>
        </w:rPr>
        <w:t>Art. 3º</w:t>
      </w:r>
      <w:r w:rsidRPr="00E9242B">
        <w:t xml:space="preserve"> A assunção de responsabilidade pela manutenção e conservação de equipamentos deverá ser informada pelas empresas de manutenção aos respectivos Conselhos Regionais de Engenharia e Agronomia, através da Anotação de Responsabilidade Técnica do Engenheiro, devidamente habilitado.</w:t>
      </w:r>
    </w:p>
    <w:p w:rsidR="00E9242B" w:rsidRPr="00E9242B" w:rsidRDefault="00E9242B" w:rsidP="00E9242B">
      <w:pPr>
        <w:pStyle w:val="Corpodetexto"/>
        <w:spacing w:before="100"/>
        <w:ind w:left="115" w:right="114"/>
        <w:jc w:val="both"/>
      </w:pPr>
    </w:p>
    <w:p w:rsidR="00E9242B" w:rsidRDefault="00E9242B" w:rsidP="00E9242B">
      <w:pPr>
        <w:pStyle w:val="Corpodetexto"/>
        <w:ind w:left="115" w:right="115"/>
        <w:jc w:val="both"/>
      </w:pPr>
      <w:r w:rsidRPr="00E9242B">
        <w:rPr>
          <w:b/>
          <w:bCs/>
        </w:rPr>
        <w:t>Art. 4º</w:t>
      </w:r>
      <w:r w:rsidRPr="00E9242B">
        <w:t xml:space="preserve"> No caso de acidente em decorrência do descumprimento do que estabelece esta Lei, deverão responder pelos danos decorrentes:</w:t>
      </w:r>
    </w:p>
    <w:p w:rsidR="00E9242B" w:rsidRPr="00E9242B" w:rsidRDefault="00E9242B" w:rsidP="00E9242B">
      <w:pPr>
        <w:pStyle w:val="PargrafodaLista"/>
        <w:widowControl w:val="0"/>
        <w:numPr>
          <w:ilvl w:val="0"/>
          <w:numId w:val="4"/>
        </w:numPr>
        <w:tabs>
          <w:tab w:val="left" w:pos="225"/>
        </w:tabs>
        <w:autoSpaceDE w:val="0"/>
        <w:autoSpaceDN w:val="0"/>
        <w:spacing w:before="240" w:after="0" w:line="240" w:lineRule="auto"/>
        <w:contextualSpacing w:val="0"/>
        <w:jc w:val="both"/>
      </w:pPr>
      <w:r w:rsidRPr="00E9242B">
        <w:t xml:space="preserve">– </w:t>
      </w:r>
      <w:proofErr w:type="gramStart"/>
      <w:r w:rsidRPr="00E9242B">
        <w:t>o</w:t>
      </w:r>
      <w:proofErr w:type="gramEnd"/>
      <w:r w:rsidRPr="00E9242B">
        <w:t xml:space="preserve"> proprietário ou responsável pelo prédio, em caso de descumprimento do disposto no artigo 2º desta Lei;</w:t>
      </w:r>
    </w:p>
    <w:p w:rsidR="00E9242B" w:rsidRDefault="00E9242B" w:rsidP="00E9242B">
      <w:pPr>
        <w:pStyle w:val="PargrafodaLista"/>
        <w:widowControl w:val="0"/>
        <w:numPr>
          <w:ilvl w:val="0"/>
          <w:numId w:val="4"/>
        </w:numPr>
        <w:tabs>
          <w:tab w:val="left" w:pos="302"/>
        </w:tabs>
        <w:autoSpaceDE w:val="0"/>
        <w:autoSpaceDN w:val="0"/>
        <w:spacing w:before="240" w:after="0" w:line="240" w:lineRule="auto"/>
        <w:ind w:left="115" w:right="115" w:firstLine="0"/>
        <w:contextualSpacing w:val="0"/>
        <w:jc w:val="both"/>
      </w:pPr>
      <w:r w:rsidRPr="00E9242B">
        <w:t xml:space="preserve">– </w:t>
      </w:r>
      <w:proofErr w:type="gramStart"/>
      <w:r w:rsidRPr="00E9242B">
        <w:t>a</w:t>
      </w:r>
      <w:proofErr w:type="gramEnd"/>
      <w:r w:rsidRPr="00E9242B">
        <w:t xml:space="preserve"> empresa contratada para realizar a manutenção, em caso de omissão, negligência ou imperícia, devidamente comprovada.</w:t>
      </w:r>
    </w:p>
    <w:p w:rsidR="00E9242B" w:rsidRPr="00E9242B" w:rsidRDefault="00E9242B" w:rsidP="00E9242B">
      <w:pPr>
        <w:pStyle w:val="PargrafodaLista"/>
        <w:widowControl w:val="0"/>
        <w:tabs>
          <w:tab w:val="left" w:pos="302"/>
        </w:tabs>
        <w:autoSpaceDE w:val="0"/>
        <w:autoSpaceDN w:val="0"/>
        <w:spacing w:before="240" w:after="0" w:line="240" w:lineRule="auto"/>
        <w:ind w:left="115" w:right="115"/>
        <w:contextualSpacing w:val="0"/>
        <w:jc w:val="both"/>
      </w:pPr>
    </w:p>
    <w:p w:rsidR="00E9242B" w:rsidRDefault="00E9242B" w:rsidP="00E9242B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E9242B">
        <w:rPr>
          <w:b/>
          <w:bCs/>
        </w:rPr>
        <w:t xml:space="preserve">Art. </w:t>
      </w:r>
      <w:r w:rsidRPr="00E9242B">
        <w:rPr>
          <w:b/>
          <w:bCs/>
        </w:rPr>
        <w:t>5</w:t>
      </w:r>
      <w:r w:rsidRPr="00E9242B">
        <w:rPr>
          <w:b/>
          <w:bCs/>
        </w:rPr>
        <w:t>º</w:t>
      </w:r>
      <w:r w:rsidRPr="00E9242B">
        <w:t xml:space="preserve"> O Executivo Estadual regulamentará</w:t>
      </w:r>
      <w:r w:rsidRPr="00F742DD">
        <w:rPr>
          <w:rFonts w:ascii="Arial Narrow" w:eastAsia="Calibri" w:hAnsi="Arial Narrow" w:cs="Arial (W1)"/>
          <w:bCs/>
          <w:sz w:val="24"/>
          <w:szCs w:val="24"/>
        </w:rPr>
        <w:t xml:space="preserve"> a presente lei</w:t>
      </w:r>
      <w:r w:rsidRPr="005105F2">
        <w:rPr>
          <w:rFonts w:ascii="Arial Narrow" w:eastAsia="Calibri" w:hAnsi="Arial Narrow" w:cs="Arial (W1)"/>
          <w:bCs/>
          <w:sz w:val="24"/>
          <w:szCs w:val="24"/>
        </w:rPr>
        <w:t xml:space="preserve">. </w:t>
      </w:r>
    </w:p>
    <w:p w:rsidR="00E9242B" w:rsidRDefault="00E9242B" w:rsidP="00E9242B">
      <w:pPr>
        <w:pStyle w:val="Corpodetexto"/>
        <w:spacing w:line="278" w:lineRule="auto"/>
        <w:ind w:right="106"/>
        <w:jc w:val="both"/>
      </w:pPr>
    </w:p>
    <w:p w:rsidR="00E9242B" w:rsidRPr="00E9242B" w:rsidRDefault="00E9242B" w:rsidP="00E9242B">
      <w:pPr>
        <w:pStyle w:val="Corpodetexto"/>
        <w:spacing w:line="278" w:lineRule="auto"/>
        <w:ind w:right="106"/>
        <w:jc w:val="both"/>
      </w:pPr>
      <w:r w:rsidRPr="00E9242B">
        <w:rPr>
          <w:b/>
          <w:bCs/>
        </w:rPr>
        <w:t xml:space="preserve">Art. </w:t>
      </w:r>
      <w:r w:rsidRPr="00E9242B">
        <w:rPr>
          <w:b/>
          <w:bCs/>
        </w:rPr>
        <w:t>6</w:t>
      </w:r>
      <w:r w:rsidRPr="00E9242B">
        <w:rPr>
          <w:b/>
          <w:bCs/>
        </w:rPr>
        <w:t>º</w:t>
      </w:r>
      <w:r w:rsidRPr="00E9242B">
        <w:t xml:space="preserve"> Esta lei entra em vigor após 180 (cento e oitenta) dias da data de sua publicação.</w:t>
      </w:r>
    </w:p>
    <w:p w:rsidR="003D2ABF" w:rsidRPr="002C0BA6" w:rsidRDefault="003D2ABF" w:rsidP="002C0BA6">
      <w:pPr>
        <w:pStyle w:val="Corpodetexto"/>
        <w:spacing w:line="278" w:lineRule="auto"/>
        <w:ind w:left="110" w:right="107" w:firstLine="528"/>
        <w:jc w:val="both"/>
      </w:pPr>
    </w:p>
    <w:p w:rsidR="00DC6376" w:rsidRDefault="00DC6376" w:rsidP="00D8678D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Default="00D8678D" w:rsidP="00D8678D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1</w:t>
      </w:r>
      <w:r w:rsidR="00E9242B">
        <w:rPr>
          <w:rFonts w:ascii="Arial Narrow" w:eastAsia="Calibri" w:hAnsi="Arial Narrow" w:cs="Arial (W1)"/>
          <w:bCs/>
          <w:sz w:val="23"/>
          <w:szCs w:val="23"/>
          <w:lang w:eastAsia="en-US"/>
        </w:rPr>
        <w:t>8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abril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</w:t>
      </w:r>
      <w:r w:rsidR="007964B7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:rsidR="00F33671" w:rsidRPr="000C2664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 xml:space="preserve">ADRIANO </w:t>
      </w:r>
    </w:p>
    <w:p w:rsidR="00D8678D" w:rsidRDefault="00F33671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C87838" w:rsidRDefault="00C87838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E9242B" w:rsidRDefault="00E9242B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742DD" w:rsidRDefault="00F742DD" w:rsidP="003F72D9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:rsidR="00D8678D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1364CB">
        <w:rPr>
          <w:rFonts w:ascii="Arial Narrow" w:hAnsi="Arial Narrow" w:cs="Arial"/>
          <w:b/>
          <w:sz w:val="24"/>
          <w:szCs w:val="24"/>
          <w:u w:val="single"/>
        </w:rPr>
        <w:t>JUSTIFICATIVA</w:t>
      </w:r>
    </w:p>
    <w:p w:rsidR="00E9242B" w:rsidRDefault="00E9242B" w:rsidP="00E9242B">
      <w:pPr>
        <w:pStyle w:val="Corpodetexto"/>
        <w:spacing w:before="240"/>
        <w:ind w:left="115"/>
        <w:jc w:val="both"/>
      </w:pPr>
      <w:r w:rsidRPr="00E9242B">
        <w:t xml:space="preserve">Este Projeto de Lei, justifica-se pela necessidade de garantir a segurança dos cidadãos do Estado do </w:t>
      </w:r>
      <w:r>
        <w:t>Maranhão</w:t>
      </w:r>
      <w:r w:rsidRPr="00E9242B">
        <w:t>.</w:t>
      </w:r>
    </w:p>
    <w:p w:rsidR="00E9242B" w:rsidRDefault="00E9242B" w:rsidP="00E9242B">
      <w:pPr>
        <w:pStyle w:val="Corpodetexto"/>
        <w:spacing w:before="240"/>
        <w:ind w:left="115" w:right="116"/>
        <w:jc w:val="both"/>
      </w:pPr>
      <w:r w:rsidRPr="00E9242B">
        <w:t>Ao mesmo tempo, sem descuidar das obrigações de fiscalização do Poder Público, não se pode esquecer que o primeiro responsável pela manutenção e garantia da segurança dos elevadores são os proprietários.</w:t>
      </w:r>
    </w:p>
    <w:p w:rsidR="00E9242B" w:rsidRDefault="00E9242B" w:rsidP="00E9242B">
      <w:pPr>
        <w:pStyle w:val="Corpodetexto"/>
        <w:spacing w:before="240"/>
        <w:ind w:left="118" w:right="119"/>
      </w:pPr>
      <w:r w:rsidRPr="00E9242B">
        <w:t>Assim, fica evidente que a determinação da realização de vistoria é apenas a formalização de uma obrigação</w:t>
      </w:r>
      <w:r>
        <w:t xml:space="preserve"> </w:t>
      </w:r>
      <w:r w:rsidRPr="00E9242B">
        <w:t>decorrente da própria condição de detentor de um bem, em particular naqueles aspectos relacionados à segurança da população.</w:t>
      </w:r>
    </w:p>
    <w:p w:rsidR="00E9242B" w:rsidRDefault="00E9242B" w:rsidP="00E9242B">
      <w:pPr>
        <w:pStyle w:val="Corpodetexto"/>
        <w:spacing w:before="240"/>
        <w:ind w:left="115" w:right="113"/>
        <w:jc w:val="both"/>
      </w:pPr>
      <w:r w:rsidRPr="00E9242B">
        <w:t>Finalmente, o Projeto também pretende estimular a cultura da contratação de profissionais e empresas efetivamente qualificados, particularmente quando se trata de questões de segurança, quando verificamos que, em grande parte dos casos, os acidentes estão vinculados à realização de serviços sem a sua participação.</w:t>
      </w:r>
    </w:p>
    <w:p w:rsidR="00E9242B" w:rsidRDefault="00E9242B" w:rsidP="00E9242B">
      <w:pPr>
        <w:pStyle w:val="Corpodetexto"/>
        <w:spacing w:before="240"/>
        <w:ind w:left="115" w:right="114"/>
        <w:jc w:val="both"/>
      </w:pPr>
      <w:r w:rsidRPr="00E9242B">
        <w:t>Não é incomum notícia que relatam acidentes com elevadores, que, na esmagadora maioria das vezes se dá em consequência da falta de manutenção e conservação dos equipamentos.</w:t>
      </w:r>
    </w:p>
    <w:p w:rsidR="00E9242B" w:rsidRDefault="00E9242B" w:rsidP="00E9242B">
      <w:pPr>
        <w:pStyle w:val="Corpodetexto"/>
        <w:spacing w:before="240"/>
        <w:ind w:left="115" w:right="114"/>
        <w:jc w:val="both"/>
      </w:pPr>
      <w:r w:rsidRPr="00E9242B">
        <w:t>Por isso, necessário a criação de legislação unificada que especifique a manutenção periódica necessária para gerar segurança mínima para os usuários.</w:t>
      </w:r>
    </w:p>
    <w:p w:rsidR="00E9242B" w:rsidRDefault="00E9242B" w:rsidP="00E9242B">
      <w:pPr>
        <w:pStyle w:val="Corpodetexto"/>
        <w:spacing w:before="240"/>
        <w:ind w:left="115" w:right="113"/>
        <w:jc w:val="both"/>
      </w:pPr>
      <w:r w:rsidRPr="00E9242B">
        <w:t xml:space="preserve">É de suma importância a criação de uma lei estadual que pode eliminar acidentes e garantam maior segurança aos elevadores do Estado do </w:t>
      </w:r>
      <w:r>
        <w:t>Maranhão</w:t>
      </w:r>
      <w:r w:rsidRPr="00E9242B">
        <w:t>, por isso justifica-se a criação do Relatório de Inspeção Anual (RIA).</w:t>
      </w:r>
    </w:p>
    <w:p w:rsidR="00D8678D" w:rsidRDefault="00E9242B" w:rsidP="00E9242B">
      <w:pPr>
        <w:pStyle w:val="Corpodetexto"/>
        <w:spacing w:line="278" w:lineRule="auto"/>
        <w:ind w:left="110" w:right="377"/>
        <w:rPr>
          <w:rFonts w:ascii="Arial Narrow" w:hAnsi="Arial Narrow" w:cs="Arial"/>
          <w:sz w:val="24"/>
          <w:szCs w:val="24"/>
        </w:rPr>
      </w:pPr>
      <w:r w:rsidRPr="00E9242B">
        <w:t>Por todo o exposto, considerando a importância que a matéria possui</w:t>
      </w:r>
      <w:r>
        <w:t xml:space="preserve">, </w:t>
      </w:r>
      <w:r w:rsidR="005105F2" w:rsidRPr="005105F2">
        <w:rPr>
          <w:rFonts w:ascii="Arial Narrow" w:eastAsia="Calibri" w:hAnsi="Arial Narrow" w:cs="Arial (W1)"/>
          <w:bCs/>
          <w:sz w:val="24"/>
          <w:szCs w:val="24"/>
        </w:rPr>
        <w:t>peço o sufrágio dos Alumies Pares para a aceitação, apreciação e aprovação deste projeto de lei.</w:t>
      </w:r>
    </w:p>
    <w:sectPr w:rsidR="00D8678D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56" w:rsidRDefault="00273E56" w:rsidP="00860DB4">
      <w:pPr>
        <w:spacing w:after="0" w:line="240" w:lineRule="auto"/>
      </w:pPr>
      <w:r>
        <w:separator/>
      </w:r>
    </w:p>
  </w:endnote>
  <w:endnote w:type="continuationSeparator" w:id="0">
    <w:p w:rsidR="00273E56" w:rsidRDefault="00273E56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56" w:rsidRDefault="00273E56" w:rsidP="00860DB4">
      <w:pPr>
        <w:spacing w:after="0" w:line="240" w:lineRule="auto"/>
      </w:pPr>
      <w:r>
        <w:separator/>
      </w:r>
    </w:p>
  </w:footnote>
  <w:footnote w:type="continuationSeparator" w:id="0">
    <w:p w:rsidR="00273E56" w:rsidRDefault="00273E56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203"/>
    <w:multiLevelType w:val="hybridMultilevel"/>
    <w:tmpl w:val="308245C0"/>
    <w:lvl w:ilvl="0" w:tplc="566E4F60">
      <w:start w:val="1"/>
      <w:numFmt w:val="upperRoman"/>
      <w:lvlText w:val="%1"/>
      <w:lvlJc w:val="left"/>
      <w:pPr>
        <w:ind w:left="224" w:hanging="110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 w:tplc="9C2010D8">
      <w:numFmt w:val="bullet"/>
      <w:lvlText w:val="•"/>
      <w:lvlJc w:val="left"/>
      <w:pPr>
        <w:ind w:left="1264" w:hanging="110"/>
      </w:pPr>
      <w:rPr>
        <w:rFonts w:hint="default"/>
        <w:lang w:val="pt-PT" w:eastAsia="en-US" w:bidi="ar-SA"/>
      </w:rPr>
    </w:lvl>
    <w:lvl w:ilvl="2" w:tplc="6FDCD022">
      <w:numFmt w:val="bullet"/>
      <w:lvlText w:val="•"/>
      <w:lvlJc w:val="left"/>
      <w:pPr>
        <w:ind w:left="2308" w:hanging="110"/>
      </w:pPr>
      <w:rPr>
        <w:rFonts w:hint="default"/>
        <w:lang w:val="pt-PT" w:eastAsia="en-US" w:bidi="ar-SA"/>
      </w:rPr>
    </w:lvl>
    <w:lvl w:ilvl="3" w:tplc="3FE00038">
      <w:numFmt w:val="bullet"/>
      <w:lvlText w:val="•"/>
      <w:lvlJc w:val="left"/>
      <w:pPr>
        <w:ind w:left="3352" w:hanging="110"/>
      </w:pPr>
      <w:rPr>
        <w:rFonts w:hint="default"/>
        <w:lang w:val="pt-PT" w:eastAsia="en-US" w:bidi="ar-SA"/>
      </w:rPr>
    </w:lvl>
    <w:lvl w:ilvl="4" w:tplc="D5B2ABD0">
      <w:numFmt w:val="bullet"/>
      <w:lvlText w:val="•"/>
      <w:lvlJc w:val="left"/>
      <w:pPr>
        <w:ind w:left="4396" w:hanging="110"/>
      </w:pPr>
      <w:rPr>
        <w:rFonts w:hint="default"/>
        <w:lang w:val="pt-PT" w:eastAsia="en-US" w:bidi="ar-SA"/>
      </w:rPr>
    </w:lvl>
    <w:lvl w:ilvl="5" w:tplc="E6363816">
      <w:numFmt w:val="bullet"/>
      <w:lvlText w:val="•"/>
      <w:lvlJc w:val="left"/>
      <w:pPr>
        <w:ind w:left="5440" w:hanging="110"/>
      </w:pPr>
      <w:rPr>
        <w:rFonts w:hint="default"/>
        <w:lang w:val="pt-PT" w:eastAsia="en-US" w:bidi="ar-SA"/>
      </w:rPr>
    </w:lvl>
    <w:lvl w:ilvl="6" w:tplc="174E4E58">
      <w:numFmt w:val="bullet"/>
      <w:lvlText w:val="•"/>
      <w:lvlJc w:val="left"/>
      <w:pPr>
        <w:ind w:left="6484" w:hanging="110"/>
      </w:pPr>
      <w:rPr>
        <w:rFonts w:hint="default"/>
        <w:lang w:val="pt-PT" w:eastAsia="en-US" w:bidi="ar-SA"/>
      </w:rPr>
    </w:lvl>
    <w:lvl w:ilvl="7" w:tplc="EDDEF56E">
      <w:numFmt w:val="bullet"/>
      <w:lvlText w:val="•"/>
      <w:lvlJc w:val="left"/>
      <w:pPr>
        <w:ind w:left="7528" w:hanging="110"/>
      </w:pPr>
      <w:rPr>
        <w:rFonts w:hint="default"/>
        <w:lang w:val="pt-PT" w:eastAsia="en-US" w:bidi="ar-SA"/>
      </w:rPr>
    </w:lvl>
    <w:lvl w:ilvl="8" w:tplc="0CEC0A74">
      <w:numFmt w:val="bullet"/>
      <w:lvlText w:val="•"/>
      <w:lvlJc w:val="left"/>
      <w:pPr>
        <w:ind w:left="8572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EB4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4564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D7654"/>
    <w:rsid w:val="001F39E5"/>
    <w:rsid w:val="001F7C10"/>
    <w:rsid w:val="002258CF"/>
    <w:rsid w:val="002276E8"/>
    <w:rsid w:val="00230977"/>
    <w:rsid w:val="002605CE"/>
    <w:rsid w:val="00261A0E"/>
    <w:rsid w:val="00262A50"/>
    <w:rsid w:val="00266703"/>
    <w:rsid w:val="00273E56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C0BA6"/>
    <w:rsid w:val="002D3499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6179A"/>
    <w:rsid w:val="00366159"/>
    <w:rsid w:val="00375271"/>
    <w:rsid w:val="003B1FCB"/>
    <w:rsid w:val="003B51AD"/>
    <w:rsid w:val="003D1320"/>
    <w:rsid w:val="003D2ABF"/>
    <w:rsid w:val="003F72D9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A1242"/>
    <w:rsid w:val="004A2A0D"/>
    <w:rsid w:val="004B3A8B"/>
    <w:rsid w:val="004C54FB"/>
    <w:rsid w:val="004C56B4"/>
    <w:rsid w:val="004E70DE"/>
    <w:rsid w:val="004F2BD3"/>
    <w:rsid w:val="00502EF8"/>
    <w:rsid w:val="00507C59"/>
    <w:rsid w:val="005105F2"/>
    <w:rsid w:val="005113B9"/>
    <w:rsid w:val="005157D3"/>
    <w:rsid w:val="00517010"/>
    <w:rsid w:val="005340E3"/>
    <w:rsid w:val="00550882"/>
    <w:rsid w:val="00560C7B"/>
    <w:rsid w:val="00562F89"/>
    <w:rsid w:val="00566B9B"/>
    <w:rsid w:val="005935EA"/>
    <w:rsid w:val="00596256"/>
    <w:rsid w:val="00596CE1"/>
    <w:rsid w:val="005A1067"/>
    <w:rsid w:val="005A26AE"/>
    <w:rsid w:val="005A3EF0"/>
    <w:rsid w:val="005F0630"/>
    <w:rsid w:val="00600BBE"/>
    <w:rsid w:val="00611EA4"/>
    <w:rsid w:val="00617C3E"/>
    <w:rsid w:val="00622DF0"/>
    <w:rsid w:val="00647039"/>
    <w:rsid w:val="006537BC"/>
    <w:rsid w:val="00656B86"/>
    <w:rsid w:val="00661EBF"/>
    <w:rsid w:val="00663E24"/>
    <w:rsid w:val="006827F9"/>
    <w:rsid w:val="006957BB"/>
    <w:rsid w:val="006A6CCB"/>
    <w:rsid w:val="006C7578"/>
    <w:rsid w:val="006E51DE"/>
    <w:rsid w:val="006F04DE"/>
    <w:rsid w:val="007424B9"/>
    <w:rsid w:val="0075058A"/>
    <w:rsid w:val="00761044"/>
    <w:rsid w:val="00765F15"/>
    <w:rsid w:val="00785FCD"/>
    <w:rsid w:val="00787D13"/>
    <w:rsid w:val="007953E8"/>
    <w:rsid w:val="007964B7"/>
    <w:rsid w:val="007B5D98"/>
    <w:rsid w:val="007C5C75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557CE"/>
    <w:rsid w:val="00860DB4"/>
    <w:rsid w:val="00872899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144B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6A37"/>
    <w:rsid w:val="00A11593"/>
    <w:rsid w:val="00A20289"/>
    <w:rsid w:val="00A416F9"/>
    <w:rsid w:val="00A552A0"/>
    <w:rsid w:val="00A5729B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65BB"/>
    <w:rsid w:val="00C86E43"/>
    <w:rsid w:val="00C87838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232FE"/>
    <w:rsid w:val="00D46B5F"/>
    <w:rsid w:val="00D55BB3"/>
    <w:rsid w:val="00D56535"/>
    <w:rsid w:val="00D63A93"/>
    <w:rsid w:val="00D721FC"/>
    <w:rsid w:val="00D75DC9"/>
    <w:rsid w:val="00D8678D"/>
    <w:rsid w:val="00DC6376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736E9"/>
    <w:rsid w:val="00E9242B"/>
    <w:rsid w:val="00EA153E"/>
    <w:rsid w:val="00EA1AF5"/>
    <w:rsid w:val="00EB3187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742DD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DF9F3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2ABF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1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D2A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2ABF"/>
  </w:style>
  <w:style w:type="character" w:customStyle="1" w:styleId="Ttulo1Char">
    <w:name w:val="Título 1 Char"/>
    <w:basedOn w:val="Fontepargpadro"/>
    <w:link w:val="Ttulo1"/>
    <w:uiPriority w:val="9"/>
    <w:rsid w:val="003D2ABF"/>
    <w:rPr>
      <w:rFonts w:ascii="Cambria" w:eastAsia="Cambria" w:hAnsi="Cambria" w:cs="Cambria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2021-09-20T19:09:00Z</cp:lastPrinted>
  <dcterms:created xsi:type="dcterms:W3CDTF">2022-04-18T17:51:00Z</dcterms:created>
  <dcterms:modified xsi:type="dcterms:W3CDTF">2022-04-18T17:51:00Z</dcterms:modified>
</cp:coreProperties>
</file>