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P A R E C E R </w:t>
      </w:r>
      <w:r w:rsidR="00B420A5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Nº </w:t>
      </w:r>
      <w:r w:rsidR="00B420A5">
        <w:rPr>
          <w:rFonts w:ascii="Times New Roman" w:hAnsi="Times New Roman"/>
          <w:i w:val="0"/>
          <w:sz w:val="24"/>
          <w:szCs w:val="24"/>
          <w:u w:val="single"/>
        </w:rPr>
        <w:t>0</w:t>
      </w:r>
      <w:r w:rsidR="000F0A06">
        <w:rPr>
          <w:rFonts w:ascii="Times New Roman" w:hAnsi="Times New Roman"/>
          <w:i w:val="0"/>
          <w:sz w:val="24"/>
          <w:szCs w:val="24"/>
          <w:u w:val="single"/>
        </w:rPr>
        <w:t>18</w:t>
      </w:r>
      <w:r w:rsidR="004456BB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/201</w:t>
      </w:r>
      <w:r w:rsidR="00277F3C">
        <w:rPr>
          <w:rFonts w:ascii="Times New Roman" w:hAnsi="Times New Roman"/>
          <w:i w:val="0"/>
          <w:sz w:val="24"/>
          <w:szCs w:val="24"/>
          <w:u w:val="single"/>
        </w:rPr>
        <w:t>9</w:t>
      </w:r>
    </w:p>
    <w:p w:rsidR="00473A66" w:rsidRPr="0033608A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520758" w:rsidRDefault="00520758" w:rsidP="00520758">
      <w:pPr>
        <w:spacing w:line="360" w:lineRule="auto"/>
        <w:ind w:firstLine="709"/>
        <w:jc w:val="both"/>
      </w:pPr>
    </w:p>
    <w:p w:rsidR="008A2ACC" w:rsidRPr="000F0A06" w:rsidRDefault="00D17DB3" w:rsidP="008A2ACC">
      <w:pPr>
        <w:spacing w:line="360" w:lineRule="auto"/>
        <w:ind w:firstLine="851"/>
        <w:jc w:val="both"/>
        <w:rPr>
          <w:i/>
        </w:rPr>
      </w:pPr>
      <w:r>
        <w:t>Trata</w:t>
      </w:r>
      <w:r w:rsidRPr="00D17DB3">
        <w:t xml:space="preserve">-se da </w:t>
      </w:r>
      <w:r w:rsidRPr="008A2ACC">
        <w:rPr>
          <w:b/>
        </w:rPr>
        <w:t xml:space="preserve">análise de mérito do Projeto de Lei nº </w:t>
      </w:r>
      <w:r w:rsidR="000F0A06" w:rsidRPr="000F0A06">
        <w:rPr>
          <w:b/>
        </w:rPr>
        <w:t xml:space="preserve">447/2019, </w:t>
      </w:r>
      <w:r w:rsidR="000F0A06" w:rsidRPr="000F0A06">
        <w:t>de autoria do Senhor Deputado Zé Gentil, que propõe a obrigatoriedade dos Hospitais Públicos e Privados, fornecerem aos pacientes e seus familiares, cópias dos prontuários médicos, dos documentos assinados por estes, bem como as despesas que foram geradas no atendimento hospitalar.</w:t>
      </w:r>
    </w:p>
    <w:p w:rsidR="00D17DB3" w:rsidRPr="000F5F6C" w:rsidRDefault="00D17DB3" w:rsidP="00D17DB3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Publicado no Diário do Legislativo, foi o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rojeto </w:t>
      </w:r>
      <w:r>
        <w:rPr>
          <w:rFonts w:ascii="Times New Roman" w:hAnsi="Times New Roman" w:cs="Times New Roman"/>
        </w:rPr>
        <w:t xml:space="preserve">de Lei </w:t>
      </w:r>
      <w:r w:rsidRPr="0033608A">
        <w:rPr>
          <w:rFonts w:ascii="Times New Roman" w:hAnsi="Times New Roman" w:cs="Times New Roman"/>
        </w:rPr>
        <w:t>distribuído à Comissão de Constituição, Justiça e Cidadania par</w:t>
      </w:r>
      <w:r>
        <w:rPr>
          <w:rFonts w:ascii="Times New Roman" w:hAnsi="Times New Roman" w:cs="Times New Roman"/>
        </w:rPr>
        <w:t>a receber parecer, tendo a mesma</w:t>
      </w:r>
      <w:r w:rsidRPr="0033608A">
        <w:rPr>
          <w:rFonts w:ascii="Times New Roman" w:hAnsi="Times New Roman" w:cs="Times New Roman"/>
        </w:rPr>
        <w:t xml:space="preserve"> se manifestado favoravelmente pela aprovação da matéria</w:t>
      </w:r>
      <w:r w:rsidR="004456BB">
        <w:rPr>
          <w:rFonts w:ascii="Times New Roman" w:hAnsi="Times New Roman" w:cs="Times New Roman"/>
        </w:rPr>
        <w:t xml:space="preserve">, </w:t>
      </w:r>
      <w:r w:rsidR="000F0A06">
        <w:rPr>
          <w:rFonts w:ascii="Times New Roman" w:hAnsi="Times New Roman" w:cs="Times New Roman"/>
        </w:rPr>
        <w:t xml:space="preserve">na forma do texto original </w:t>
      </w:r>
      <w:r>
        <w:rPr>
          <w:rFonts w:ascii="Times New Roman" w:hAnsi="Times New Roman" w:cs="Times New Roman"/>
        </w:rPr>
        <w:t xml:space="preserve">(Parecer </w:t>
      </w:r>
      <w:r w:rsidR="000F0A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="004456BB">
        <w:rPr>
          <w:rFonts w:ascii="Times New Roman" w:hAnsi="Times New Roman" w:cs="Times New Roman"/>
        </w:rPr>
        <w:t xml:space="preserve"> </w:t>
      </w:r>
      <w:r w:rsidR="000F0A06">
        <w:rPr>
          <w:rFonts w:ascii="Times New Roman" w:hAnsi="Times New Roman" w:cs="Times New Roman"/>
        </w:rPr>
        <w:t>6</w:t>
      </w:r>
      <w:r w:rsidR="008A2ACC">
        <w:rPr>
          <w:rFonts w:ascii="Times New Roman" w:hAnsi="Times New Roman" w:cs="Times New Roman"/>
        </w:rPr>
        <w:t>54</w:t>
      </w:r>
      <w:r w:rsidR="004456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2019)</w:t>
      </w:r>
      <w:r w:rsidRPr="0033608A">
        <w:rPr>
          <w:rFonts w:ascii="Times New Roman" w:hAnsi="Times New Roman" w:cs="Times New Roman"/>
        </w:rPr>
        <w:t xml:space="preserve">. Posteriormente, a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roposição de </w:t>
      </w:r>
      <w:r>
        <w:rPr>
          <w:rFonts w:ascii="Times New Roman" w:hAnsi="Times New Roman" w:cs="Times New Roman"/>
        </w:rPr>
        <w:t>L</w:t>
      </w:r>
      <w:r w:rsidRPr="0033608A">
        <w:rPr>
          <w:rFonts w:ascii="Times New Roman" w:hAnsi="Times New Roman" w:cs="Times New Roman"/>
        </w:rPr>
        <w:t xml:space="preserve">ei veio a esta Comissão Técnica Permanente para análise meritória. </w:t>
      </w:r>
    </w:p>
    <w:p w:rsidR="00277F3C" w:rsidRDefault="002215A8" w:rsidP="000F0A06">
      <w:pPr>
        <w:pStyle w:val="Recuodecorpodetexto"/>
        <w:ind w:firstLine="1134"/>
        <w:rPr>
          <w:rFonts w:ascii="Times New Roman" w:hAnsi="Times New Roman" w:cs="Times New Roman"/>
        </w:rPr>
      </w:pPr>
      <w:bookmarkStart w:id="0" w:name="_Hlk8395083"/>
      <w:r w:rsidRPr="0033608A">
        <w:rPr>
          <w:rFonts w:ascii="Times New Roman" w:hAnsi="Times New Roman" w:cs="Times New Roman"/>
        </w:rPr>
        <w:t>Nos termos do art. 30, inciso VIII, alínea “</w:t>
      </w:r>
      <w:r w:rsidR="000F0A06" w:rsidRPr="000F0A06">
        <w:rPr>
          <w:rFonts w:ascii="Times New Roman" w:hAnsi="Times New Roman" w:cs="Times New Roman"/>
          <w:i/>
        </w:rPr>
        <w:t>e</w:t>
      </w:r>
      <w:r w:rsidR="00DD72C1">
        <w:rPr>
          <w:rFonts w:ascii="Times New Roman" w:hAnsi="Times New Roman" w:cs="Times New Roman"/>
        </w:rPr>
        <w:t>”</w:t>
      </w:r>
      <w:r w:rsidR="000C32A8" w:rsidRPr="00B812F6">
        <w:rPr>
          <w:rFonts w:ascii="Times New Roman" w:hAnsi="Times New Roman" w:cs="Times New Roman"/>
          <w:i/>
        </w:rPr>
        <w:t>,</w:t>
      </w:r>
      <w:r w:rsidRPr="0033608A">
        <w:rPr>
          <w:rFonts w:ascii="Times New Roman" w:hAnsi="Times New Roman" w:cs="Times New Roman"/>
        </w:rPr>
        <w:t xml:space="preserve"> compete à Comissão de Defesa dos Direitos Humanos e das Minorias,</w:t>
      </w:r>
      <w:r w:rsidR="00E03189">
        <w:rPr>
          <w:rFonts w:ascii="Times New Roman" w:hAnsi="Times New Roman" w:cs="Times New Roman"/>
        </w:rPr>
        <w:t xml:space="preserve"> opinar</w:t>
      </w:r>
      <w:r w:rsidRPr="0033608A">
        <w:rPr>
          <w:rFonts w:ascii="Times New Roman" w:hAnsi="Times New Roman" w:cs="Times New Roman"/>
        </w:rPr>
        <w:t xml:space="preserve"> </w:t>
      </w:r>
      <w:r w:rsidR="00BC70DC" w:rsidRPr="0033608A">
        <w:rPr>
          <w:rFonts w:ascii="Times New Roman" w:hAnsi="Times New Roman" w:cs="Times New Roman"/>
        </w:rPr>
        <w:t xml:space="preserve">sobre </w:t>
      </w:r>
      <w:r w:rsidR="00BC70DC">
        <w:rPr>
          <w:rFonts w:ascii="Times New Roman" w:hAnsi="Times New Roman" w:cs="Times New Roman"/>
        </w:rPr>
        <w:t>matéria</w:t>
      </w:r>
      <w:r w:rsidR="00E03189">
        <w:rPr>
          <w:rFonts w:ascii="Times New Roman" w:hAnsi="Times New Roman" w:cs="Times New Roman"/>
        </w:rPr>
        <w:t>,</w:t>
      </w:r>
      <w:r w:rsidR="00153411" w:rsidRPr="0033608A">
        <w:rPr>
          <w:rFonts w:ascii="Times New Roman" w:hAnsi="Times New Roman" w:cs="Times New Roman"/>
        </w:rPr>
        <w:t xml:space="preserve"> </w:t>
      </w:r>
      <w:r w:rsidR="0033608A">
        <w:rPr>
          <w:rFonts w:ascii="Times New Roman" w:hAnsi="Times New Roman" w:cs="Times New Roman"/>
        </w:rPr>
        <w:t xml:space="preserve">no </w:t>
      </w:r>
      <w:r w:rsidR="00153411" w:rsidRPr="0033608A">
        <w:rPr>
          <w:rFonts w:ascii="Times New Roman" w:hAnsi="Times New Roman" w:cs="Times New Roman"/>
        </w:rPr>
        <w:t>que diz resp</w:t>
      </w:r>
      <w:r w:rsidR="000C32A8">
        <w:rPr>
          <w:rFonts w:ascii="Times New Roman" w:hAnsi="Times New Roman" w:cs="Times New Roman"/>
        </w:rPr>
        <w:t xml:space="preserve">eito </w:t>
      </w:r>
      <w:r w:rsidR="00B928DA">
        <w:rPr>
          <w:rFonts w:ascii="Times New Roman" w:hAnsi="Times New Roman" w:cs="Times New Roman"/>
        </w:rPr>
        <w:t xml:space="preserve">a </w:t>
      </w:r>
      <w:r w:rsidR="008A2ACC">
        <w:rPr>
          <w:rFonts w:ascii="Times New Roman" w:hAnsi="Times New Roman" w:cs="Times New Roman"/>
        </w:rPr>
        <w:t xml:space="preserve">assuntos relacionados à </w:t>
      </w:r>
      <w:r w:rsidR="000F0A06">
        <w:rPr>
          <w:rFonts w:ascii="Times New Roman" w:hAnsi="Times New Roman" w:cs="Times New Roman"/>
        </w:rPr>
        <w:t>defesa do consumidor</w:t>
      </w:r>
      <w:r w:rsidR="00E03189">
        <w:rPr>
          <w:rFonts w:ascii="Times New Roman" w:hAnsi="Times New Roman" w:cs="Times New Roman"/>
        </w:rPr>
        <w:t>, caso em espécie.</w:t>
      </w:r>
    </w:p>
    <w:p w:rsidR="00C37A22" w:rsidRPr="009A10A8" w:rsidRDefault="00C37A22" w:rsidP="00C37A22">
      <w:pPr>
        <w:shd w:val="clear" w:color="auto" w:fill="FFFFFF"/>
        <w:spacing w:line="360" w:lineRule="auto"/>
        <w:ind w:firstLine="1134"/>
        <w:jc w:val="both"/>
        <w:rPr>
          <w:i/>
          <w:iCs/>
          <w:spacing w:val="2"/>
        </w:rPr>
      </w:pPr>
      <w:r>
        <w:t>A</w:t>
      </w:r>
      <w:r w:rsidR="000F5F6C">
        <w:t xml:space="preserve"> iniciativa tratada na propositura é de </w:t>
      </w:r>
      <w:r w:rsidR="00B928DA">
        <w:t>grande</w:t>
      </w:r>
      <w:r w:rsidR="000F5F6C">
        <w:t xml:space="preserve"> relevância</w:t>
      </w:r>
      <w:bookmarkEnd w:id="0"/>
      <w:r>
        <w:t>, pois</w:t>
      </w:r>
      <w:r w:rsidR="0024525A">
        <w:t xml:space="preserve"> </w:t>
      </w:r>
      <w:r w:rsidRPr="00C37A22">
        <w:t>elimina</w:t>
      </w:r>
      <w:r>
        <w:t>,</w:t>
      </w:r>
      <w:r w:rsidRPr="00C37A22">
        <w:t xml:space="preserve"> quaisquer dúvidas</w:t>
      </w:r>
      <w:r>
        <w:t>,</w:t>
      </w:r>
      <w:r w:rsidRPr="00C37A22">
        <w:t xml:space="preserve"> a respeito do direito do paciente em obter cópia de seu prontuário médico</w:t>
      </w:r>
      <w:r>
        <w:t xml:space="preserve">, </w:t>
      </w:r>
      <w:r w:rsidRPr="00C37A22">
        <w:t>dos documentos assinados por estes, bem como as despesas que foram geradas no atendimento hospitalar.</w:t>
      </w:r>
    </w:p>
    <w:p w:rsidR="00C37A22" w:rsidRDefault="00C37A22" w:rsidP="00C37A22">
      <w:pPr>
        <w:shd w:val="clear" w:color="auto" w:fill="FFFFFF"/>
        <w:spacing w:line="360" w:lineRule="auto"/>
        <w:ind w:firstLine="1134"/>
        <w:jc w:val="both"/>
      </w:pPr>
      <w:r>
        <w:t>Com efeito, e</w:t>
      </w:r>
      <w:r w:rsidRPr="00914961">
        <w:t xml:space="preserve">mbora o direito à cópia do prontuário esteja garantido no </w:t>
      </w:r>
      <w:r>
        <w:t>C</w:t>
      </w:r>
      <w:r w:rsidRPr="00914961">
        <w:t xml:space="preserve">ódigo de </w:t>
      </w:r>
      <w:r>
        <w:t>É</w:t>
      </w:r>
      <w:r w:rsidRPr="00914961">
        <w:t xml:space="preserve">tica </w:t>
      </w:r>
      <w:r>
        <w:t>M</w:t>
      </w:r>
      <w:r w:rsidRPr="00914961">
        <w:t>édico</w:t>
      </w:r>
      <w:r>
        <w:t>, m</w:t>
      </w:r>
      <w:r w:rsidRPr="00914961">
        <w:t>uitos hospitais</w:t>
      </w:r>
      <w:r>
        <w:t xml:space="preserve"> e médicos</w:t>
      </w:r>
      <w:r w:rsidRPr="00914961">
        <w:t xml:space="preserve"> negam o fornecimento dessas informações aos pacientes que t</w:t>
      </w:r>
      <w:r>
        <w:t>ê</w:t>
      </w:r>
      <w:r w:rsidRPr="00914961">
        <w:t>m que impetrar ações judiciais para obterem seus prontuários</w:t>
      </w:r>
      <w:r>
        <w:t xml:space="preserve">. </w:t>
      </w:r>
    </w:p>
    <w:p w:rsidR="00C37A22" w:rsidRDefault="00C37A22" w:rsidP="00C37A22">
      <w:pPr>
        <w:shd w:val="clear" w:color="auto" w:fill="FFFFFF"/>
        <w:spacing w:line="360" w:lineRule="auto"/>
        <w:ind w:firstLine="1134"/>
        <w:jc w:val="both"/>
        <w:rPr>
          <w:spacing w:val="2"/>
        </w:rPr>
      </w:pPr>
      <w:r>
        <w:rPr>
          <w:spacing w:val="2"/>
        </w:rPr>
        <w:t>Portanto, o</w:t>
      </w:r>
      <w:r w:rsidRPr="00914961">
        <w:rPr>
          <w:spacing w:val="2"/>
        </w:rPr>
        <w:t xml:space="preserve"> médico e o hospital têm o dever de ceder</w:t>
      </w:r>
      <w:r>
        <w:rPr>
          <w:spacing w:val="2"/>
        </w:rPr>
        <w:t xml:space="preserve"> ao paciente</w:t>
      </w:r>
      <w:r w:rsidRPr="00914961">
        <w:rPr>
          <w:spacing w:val="2"/>
        </w:rPr>
        <w:t xml:space="preserve"> acesso ao próprio prontuário, sendo vedado ao médico se recusar a fornecer cópias a pacientes quando solicitado</w:t>
      </w:r>
      <w:r>
        <w:rPr>
          <w:spacing w:val="2"/>
        </w:rPr>
        <w:t>, conforme dispõe o art. 88, do Código de Ética Médico, senão vejamos:</w:t>
      </w:r>
    </w:p>
    <w:p w:rsidR="00C37A22" w:rsidRDefault="00C37A22" w:rsidP="00C37A22">
      <w:pPr>
        <w:shd w:val="clear" w:color="auto" w:fill="FFFFFF"/>
        <w:spacing w:line="360" w:lineRule="auto"/>
        <w:ind w:firstLine="1134"/>
        <w:jc w:val="both"/>
        <w:rPr>
          <w:spacing w:val="2"/>
        </w:rPr>
      </w:pPr>
    </w:p>
    <w:p w:rsidR="00C37A22" w:rsidRDefault="00C37A22" w:rsidP="00C37A22">
      <w:pPr>
        <w:shd w:val="clear" w:color="auto" w:fill="FFFFFF"/>
        <w:spacing w:line="360" w:lineRule="auto"/>
        <w:ind w:firstLine="1134"/>
        <w:jc w:val="both"/>
        <w:rPr>
          <w:spacing w:val="2"/>
        </w:rPr>
      </w:pPr>
    </w:p>
    <w:p w:rsidR="00C37A22" w:rsidRDefault="00C37A22" w:rsidP="00C37A22">
      <w:pPr>
        <w:shd w:val="clear" w:color="auto" w:fill="FFFFFF"/>
        <w:spacing w:line="360" w:lineRule="auto"/>
        <w:ind w:firstLine="1134"/>
        <w:jc w:val="both"/>
        <w:rPr>
          <w:spacing w:val="2"/>
        </w:rPr>
      </w:pPr>
    </w:p>
    <w:p w:rsidR="00C37A22" w:rsidRPr="001740F1" w:rsidRDefault="00C37A22" w:rsidP="00C37A22">
      <w:pPr>
        <w:shd w:val="clear" w:color="auto" w:fill="FFFFFF"/>
        <w:ind w:left="2126" w:firstLine="6"/>
        <w:jc w:val="both"/>
        <w:rPr>
          <w:i/>
          <w:spacing w:val="2"/>
        </w:rPr>
      </w:pPr>
      <w:r>
        <w:rPr>
          <w:i/>
          <w:spacing w:val="2"/>
        </w:rPr>
        <w:t>“</w:t>
      </w:r>
      <w:r w:rsidRPr="00C37A22">
        <w:rPr>
          <w:i/>
          <w:spacing w:val="2"/>
        </w:rPr>
        <w:t xml:space="preserve">Art. 88. </w:t>
      </w:r>
      <w:r w:rsidRPr="001740F1">
        <w:rPr>
          <w:i/>
          <w:spacing w:val="2"/>
        </w:rPr>
        <w:t>Negar, ao paciente, acesso a seu prontuário, deixar de lhe fornecer cópia quando solicitada, bem como deixar de lhe dar explicações necessárias à sua compreensão, salvo quando ocasionarem riscos ao próprio paciente ou a terceiros.</w:t>
      </w:r>
      <w:r>
        <w:rPr>
          <w:i/>
          <w:spacing w:val="2"/>
        </w:rPr>
        <w:t>”</w:t>
      </w:r>
    </w:p>
    <w:p w:rsidR="00C37A22" w:rsidRPr="001740F1" w:rsidRDefault="00C37A22" w:rsidP="00C37A22">
      <w:pPr>
        <w:shd w:val="clear" w:color="auto" w:fill="FFFFFF"/>
        <w:ind w:left="2126" w:firstLine="6"/>
        <w:jc w:val="both"/>
        <w:rPr>
          <w:spacing w:val="2"/>
        </w:rPr>
      </w:pPr>
    </w:p>
    <w:p w:rsidR="00C37A22" w:rsidRPr="00914961" w:rsidRDefault="00C37A22" w:rsidP="00C37A22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pacing w:val="2"/>
        </w:rPr>
      </w:pPr>
      <w:r>
        <w:rPr>
          <w:spacing w:val="2"/>
        </w:rPr>
        <w:t>Ademais, e</w:t>
      </w:r>
      <w:r w:rsidRPr="00914961">
        <w:rPr>
          <w:spacing w:val="2"/>
        </w:rPr>
        <w:t xml:space="preserve">ste direito também está assegurado </w:t>
      </w:r>
      <w:r w:rsidRPr="00914961">
        <w:rPr>
          <w:bCs/>
          <w:spacing w:val="2"/>
        </w:rPr>
        <w:t>no </w:t>
      </w:r>
      <w:hyperlink r:id="rId7" w:tooltip="Lei nº 8.078, de 11 de setembro de 1990." w:history="1">
        <w:r>
          <w:rPr>
            <w:rStyle w:val="Hyperlink"/>
            <w:bCs/>
            <w:color w:val="000000" w:themeColor="text1"/>
            <w:spacing w:val="2"/>
          </w:rPr>
          <w:t>C</w:t>
        </w:r>
        <w:r w:rsidRPr="00C37A22">
          <w:rPr>
            <w:rStyle w:val="Hyperlink"/>
            <w:bCs/>
            <w:color w:val="000000" w:themeColor="text1"/>
            <w:spacing w:val="2"/>
          </w:rPr>
          <w:t xml:space="preserve">ódigo de </w:t>
        </w:r>
        <w:r>
          <w:rPr>
            <w:rStyle w:val="Hyperlink"/>
            <w:bCs/>
            <w:color w:val="000000" w:themeColor="text1"/>
            <w:spacing w:val="2"/>
          </w:rPr>
          <w:t>D</w:t>
        </w:r>
        <w:r w:rsidRPr="00C37A22">
          <w:rPr>
            <w:rStyle w:val="Hyperlink"/>
            <w:bCs/>
            <w:color w:val="000000" w:themeColor="text1"/>
            <w:spacing w:val="2"/>
          </w:rPr>
          <w:t xml:space="preserve">efesa do </w:t>
        </w:r>
        <w:r>
          <w:rPr>
            <w:rStyle w:val="Hyperlink"/>
            <w:bCs/>
            <w:color w:val="000000" w:themeColor="text1"/>
            <w:spacing w:val="2"/>
          </w:rPr>
          <w:t>C</w:t>
        </w:r>
        <w:r w:rsidRPr="00C37A22">
          <w:rPr>
            <w:rStyle w:val="Hyperlink"/>
            <w:bCs/>
            <w:color w:val="000000" w:themeColor="text1"/>
            <w:spacing w:val="2"/>
          </w:rPr>
          <w:t>onsumidor</w:t>
        </w:r>
      </w:hyperlink>
      <w:r w:rsidRPr="00C37A22">
        <w:rPr>
          <w:bCs/>
          <w:color w:val="000000" w:themeColor="text1"/>
          <w:spacing w:val="2"/>
        </w:rPr>
        <w:t xml:space="preserve">, </w:t>
      </w:r>
      <w:r w:rsidRPr="00914961">
        <w:rPr>
          <w:bCs/>
          <w:spacing w:val="2"/>
        </w:rPr>
        <w:t>onde o paciente tem direito a cópia de seu prontuário</w:t>
      </w:r>
      <w:r w:rsidRPr="00914961">
        <w:rPr>
          <w:spacing w:val="2"/>
        </w:rPr>
        <w:t xml:space="preserve"> como assegura o art</w:t>
      </w:r>
      <w:r>
        <w:rPr>
          <w:spacing w:val="2"/>
        </w:rPr>
        <w:t xml:space="preserve">. </w:t>
      </w:r>
      <w:hyperlink r:id="rId8" w:tooltip="Artigo 72 da Lei nº 8.078 de 11 de Setembro de 1990" w:history="1">
        <w:r w:rsidRPr="00C37A22">
          <w:rPr>
            <w:rStyle w:val="Hyperlink"/>
            <w:color w:val="000000" w:themeColor="text1"/>
            <w:spacing w:val="2"/>
            <w:u w:val="none"/>
          </w:rPr>
          <w:t>72</w:t>
        </w:r>
      </w:hyperlink>
      <w:r w:rsidRPr="00C37A22">
        <w:rPr>
          <w:color w:val="000000" w:themeColor="text1"/>
          <w:spacing w:val="2"/>
        </w:rPr>
        <w:t>,</w:t>
      </w:r>
      <w:r w:rsidRPr="00914961">
        <w:rPr>
          <w:spacing w:val="2"/>
        </w:rPr>
        <w:t> no tocante a impedimento de informações:</w:t>
      </w:r>
    </w:p>
    <w:p w:rsidR="00C37A22" w:rsidRDefault="00C37A22" w:rsidP="00C37A22">
      <w:pPr>
        <w:pStyle w:val="NormalWeb"/>
        <w:shd w:val="clear" w:color="auto" w:fill="FFFFFF"/>
        <w:spacing w:before="0" w:beforeAutospacing="0" w:after="0" w:afterAutospacing="0"/>
        <w:ind w:left="2126"/>
        <w:jc w:val="both"/>
        <w:rPr>
          <w:i/>
          <w:iCs/>
          <w:spacing w:val="2"/>
        </w:rPr>
      </w:pPr>
    </w:p>
    <w:p w:rsidR="00C37A22" w:rsidRPr="00914961" w:rsidRDefault="00C37A22" w:rsidP="00C37A22">
      <w:pPr>
        <w:pStyle w:val="NormalWeb"/>
        <w:shd w:val="clear" w:color="auto" w:fill="FFFFFF"/>
        <w:spacing w:before="0" w:beforeAutospacing="0" w:after="0" w:afterAutospacing="0"/>
        <w:ind w:left="2126"/>
        <w:jc w:val="both"/>
        <w:rPr>
          <w:i/>
          <w:iCs/>
          <w:spacing w:val="2"/>
        </w:rPr>
      </w:pPr>
      <w:r>
        <w:rPr>
          <w:i/>
          <w:iCs/>
          <w:spacing w:val="2"/>
        </w:rPr>
        <w:t>“</w:t>
      </w:r>
      <w:r w:rsidRPr="00914961">
        <w:rPr>
          <w:i/>
          <w:iCs/>
          <w:spacing w:val="2"/>
        </w:rPr>
        <w:t>Art. 72. Impedir ou dificultar o acesso do consumidor às informações que sobre ele constem em cadastros, banco de dados, fichas e registros.</w:t>
      </w:r>
    </w:p>
    <w:p w:rsidR="00C37A22" w:rsidRPr="00914961" w:rsidRDefault="00C37A22" w:rsidP="00C37A22">
      <w:pPr>
        <w:pStyle w:val="NormalWeb"/>
        <w:shd w:val="clear" w:color="auto" w:fill="FFFFFF"/>
        <w:spacing w:before="0" w:beforeAutospacing="0" w:after="0" w:afterAutospacing="0"/>
        <w:ind w:left="2126"/>
        <w:jc w:val="both"/>
        <w:rPr>
          <w:i/>
          <w:iCs/>
          <w:spacing w:val="2"/>
        </w:rPr>
      </w:pPr>
      <w:r w:rsidRPr="00914961">
        <w:rPr>
          <w:i/>
          <w:iCs/>
          <w:spacing w:val="2"/>
        </w:rPr>
        <w:t>Pena: Detenção de seis meses a um ano ou multa.</w:t>
      </w:r>
      <w:r>
        <w:rPr>
          <w:i/>
          <w:iCs/>
          <w:spacing w:val="2"/>
        </w:rPr>
        <w:t>”</w:t>
      </w:r>
    </w:p>
    <w:p w:rsidR="00C37A22" w:rsidRPr="00914961" w:rsidRDefault="00C37A22" w:rsidP="00C37A22">
      <w:pPr>
        <w:autoSpaceDE w:val="0"/>
        <w:autoSpaceDN w:val="0"/>
        <w:adjustRightInd w:val="0"/>
        <w:spacing w:line="360" w:lineRule="auto"/>
        <w:jc w:val="both"/>
      </w:pPr>
    </w:p>
    <w:p w:rsidR="003E6A8C" w:rsidRDefault="003E6A8C" w:rsidP="0024525A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t>Assim</w:t>
      </w:r>
      <w:r w:rsidR="00277F3C">
        <w:t xml:space="preserve"> sendo</w:t>
      </w:r>
      <w:r>
        <w:t>, em análise meritória, verifica-se que o ato discricionário é conveniente e oportuno</w:t>
      </w:r>
      <w:r w:rsidR="006B20D4">
        <w:t>,</w:t>
      </w:r>
      <w:r>
        <w:t xml:space="preserve"> por ser praticado no momento adequado à satisfação do interesse público, pelo que opino pela aprovação do </w:t>
      </w:r>
      <w:r w:rsidR="00B928DA">
        <w:t>P</w:t>
      </w:r>
      <w:r>
        <w:t>rojeto de Lei</w:t>
      </w:r>
      <w:r w:rsidR="00205D0D">
        <w:t xml:space="preserve"> sob exame.</w:t>
      </w:r>
    </w:p>
    <w:p w:rsidR="0024525A" w:rsidRDefault="00B812F6" w:rsidP="00CC04F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50DE8">
        <w:t xml:space="preserve">  </w:t>
      </w: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DO</w:t>
      </w:r>
      <w:r w:rsidR="00E973E5" w:rsidRPr="0033608A">
        <w:rPr>
          <w:b/>
          <w:u w:val="single"/>
        </w:rPr>
        <w:t xml:space="preserve"> RELATOR:</w:t>
      </w:r>
    </w:p>
    <w:p w:rsidR="00D36E9A" w:rsidRPr="00CC04F4" w:rsidRDefault="009344C4" w:rsidP="00350109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</w:t>
      </w:r>
      <w:r w:rsidR="00473A66" w:rsidRPr="00B928DA">
        <w:rPr>
          <w:rFonts w:ascii="Times New Roman" w:hAnsi="Times New Roman" w:cs="Times New Roman"/>
          <w:b/>
        </w:rPr>
        <w:t>opinamos no mérito</w:t>
      </w:r>
      <w:r w:rsidR="00473A66" w:rsidRPr="0033608A">
        <w:rPr>
          <w:rFonts w:ascii="Times New Roman" w:hAnsi="Times New Roman" w:cs="Times New Roman"/>
        </w:rPr>
        <w:t xml:space="preserve">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C37A22">
        <w:rPr>
          <w:rFonts w:ascii="Times New Roman" w:hAnsi="Times New Roman" w:cs="Times New Roman"/>
          <w:b/>
        </w:rPr>
        <w:t>44</w:t>
      </w:r>
      <w:r w:rsidR="008A2ACC">
        <w:rPr>
          <w:rFonts w:ascii="Times New Roman" w:hAnsi="Times New Roman" w:cs="Times New Roman"/>
          <w:b/>
        </w:rPr>
        <w:t>7</w:t>
      </w:r>
      <w:r w:rsidR="00E973E5" w:rsidRPr="00350109">
        <w:rPr>
          <w:rFonts w:ascii="Times New Roman" w:hAnsi="Times New Roman" w:cs="Times New Roman"/>
          <w:b/>
        </w:rPr>
        <w:t>/201</w:t>
      </w:r>
      <w:r w:rsidR="00277F3C">
        <w:rPr>
          <w:rFonts w:ascii="Times New Roman" w:hAnsi="Times New Roman" w:cs="Times New Roman"/>
          <w:b/>
        </w:rPr>
        <w:t>9</w:t>
      </w:r>
      <w:r w:rsidR="00B928DA">
        <w:rPr>
          <w:rFonts w:ascii="Times New Roman" w:hAnsi="Times New Roman" w:cs="Times New Roman"/>
          <w:b/>
        </w:rPr>
        <w:t>.</w:t>
      </w:r>
      <w:r w:rsidR="00CC04F4">
        <w:rPr>
          <w:rFonts w:ascii="Times New Roman" w:hAnsi="Times New Roman" w:cs="Times New Roman"/>
          <w:b/>
        </w:rPr>
        <w:t xml:space="preserve"> </w:t>
      </w:r>
    </w:p>
    <w:p w:rsidR="00205D0D" w:rsidRDefault="00473A66" w:rsidP="00050DE8">
      <w:pPr>
        <w:pStyle w:val="Recuodecorpodetexto"/>
        <w:ind w:firstLine="851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24525A" w:rsidRDefault="0024525A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C37A22" w:rsidRDefault="00C37A22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</w:t>
      </w:r>
      <w:r w:rsidRPr="008A2ACC">
        <w:rPr>
          <w:b/>
        </w:rPr>
        <w:t>membros</w:t>
      </w:r>
      <w:r w:rsidRPr="0033608A">
        <w:t xml:space="preserve"> da </w:t>
      </w:r>
      <w:r w:rsidRPr="008A2ACC">
        <w:rPr>
          <w:b/>
        </w:rPr>
        <w:t xml:space="preserve">Comissão de </w:t>
      </w:r>
      <w:r w:rsidR="00E973E5" w:rsidRPr="008A2ACC">
        <w:rPr>
          <w:b/>
        </w:rPr>
        <w:t>Defesa dos Direitos Humanos e das Minorias</w:t>
      </w:r>
      <w:r w:rsidRPr="0033608A">
        <w:t xml:space="preserve"> </w:t>
      </w:r>
      <w:r w:rsidRPr="008A2ACC">
        <w:rPr>
          <w:b/>
        </w:rPr>
        <w:t>votam</w:t>
      </w:r>
      <w:r w:rsidRPr="0033608A">
        <w:t xml:space="preserve"> pela </w:t>
      </w:r>
      <w:r w:rsidR="0080181D" w:rsidRPr="00350109">
        <w:rPr>
          <w:b/>
        </w:rPr>
        <w:t xml:space="preserve">aprovação do Projeto de Lei nº </w:t>
      </w:r>
      <w:r w:rsidR="00C37A22">
        <w:rPr>
          <w:b/>
        </w:rPr>
        <w:t>44</w:t>
      </w:r>
      <w:r w:rsidR="008A2ACC">
        <w:rPr>
          <w:b/>
        </w:rPr>
        <w:t>7</w:t>
      </w:r>
      <w:r w:rsidRPr="00350109">
        <w:rPr>
          <w:b/>
        </w:rPr>
        <w:t>/201</w:t>
      </w:r>
      <w:r w:rsidR="007435BB">
        <w:rPr>
          <w:b/>
        </w:rPr>
        <w:t>9</w:t>
      </w:r>
      <w:r w:rsidR="00C65344" w:rsidRPr="0033608A">
        <w:t xml:space="preserve">, nos termos do </w:t>
      </w:r>
      <w:r w:rsidR="000B60A8" w:rsidRPr="0033608A">
        <w:t>voto do</w:t>
      </w:r>
      <w:r w:rsidR="00350109">
        <w:t xml:space="preserve"> R</w:t>
      </w:r>
      <w:r w:rsidRPr="0033608A">
        <w:t>elator.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5F1DA2" w:rsidRDefault="00350109" w:rsidP="00350109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B812F6" w:rsidRPr="009751B6">
        <w:rPr>
          <w:sz w:val="22"/>
          <w:szCs w:val="22"/>
        </w:rPr>
        <w:t>em</w:t>
      </w:r>
      <w:r w:rsidR="0027256C">
        <w:rPr>
          <w:sz w:val="22"/>
          <w:szCs w:val="22"/>
        </w:rPr>
        <w:t xml:space="preserve"> </w:t>
      </w:r>
      <w:r w:rsidR="00F12225">
        <w:rPr>
          <w:sz w:val="22"/>
          <w:szCs w:val="22"/>
        </w:rPr>
        <w:t>25</w:t>
      </w:r>
      <w:r w:rsidR="0027256C">
        <w:rPr>
          <w:sz w:val="22"/>
          <w:szCs w:val="22"/>
        </w:rPr>
        <w:t xml:space="preserve"> </w:t>
      </w:r>
      <w:r w:rsidR="00153411" w:rsidRPr="009751B6">
        <w:rPr>
          <w:sz w:val="22"/>
          <w:szCs w:val="22"/>
        </w:rPr>
        <w:t xml:space="preserve">de </w:t>
      </w:r>
      <w:r w:rsidR="00C37A22">
        <w:rPr>
          <w:sz w:val="22"/>
          <w:szCs w:val="22"/>
        </w:rPr>
        <w:t>nov</w:t>
      </w:r>
      <w:r w:rsidR="008A2ACC">
        <w:rPr>
          <w:sz w:val="22"/>
          <w:szCs w:val="22"/>
        </w:rPr>
        <w:t>embro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201</w:t>
      </w:r>
      <w:r w:rsidR="00277F3C">
        <w:rPr>
          <w:sz w:val="22"/>
          <w:szCs w:val="22"/>
        </w:rPr>
        <w:t>9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  <w:r w:rsidR="00FC3DBD" w:rsidRPr="0033608A">
        <w:t xml:space="preserve">             </w:t>
      </w:r>
    </w:p>
    <w:p w:rsidR="00C37A22" w:rsidRDefault="007D2A0A" w:rsidP="00F7272B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                                          </w:t>
      </w:r>
      <w:r w:rsidR="00C37A22">
        <w:t xml:space="preserve">          </w:t>
      </w:r>
      <w:r w:rsidR="00F7272B">
        <w:t>Dep. Duarte Júnior-Presidente e Relator</w:t>
      </w:r>
    </w:p>
    <w:p w:rsidR="00F7272B" w:rsidRDefault="00F7272B" w:rsidP="00F7272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Dep. Zé Inácio</w:t>
      </w:r>
    </w:p>
    <w:p w:rsidR="00F7272B" w:rsidRDefault="00F7272B" w:rsidP="00F7272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Dep. Adriano</w:t>
      </w:r>
    </w:p>
    <w:p w:rsidR="00F7272B" w:rsidRDefault="00F7272B" w:rsidP="00F7272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Dep. Edivaldo Holanda</w:t>
      </w:r>
    </w:p>
    <w:p w:rsidR="00F7272B" w:rsidRPr="00C37A22" w:rsidRDefault="00F7272B" w:rsidP="00F7272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Dep. Dra. Helena Duailibe</w:t>
      </w:r>
      <w:bookmarkStart w:id="1" w:name="_GoBack"/>
      <w:bookmarkEnd w:id="1"/>
    </w:p>
    <w:p w:rsidR="007D2A0A" w:rsidRDefault="007D2A0A" w:rsidP="00C37A22">
      <w:pPr>
        <w:spacing w:line="360" w:lineRule="auto"/>
        <w:ind w:firstLine="709"/>
        <w:jc w:val="both"/>
      </w:pPr>
    </w:p>
    <w:sectPr w:rsidR="007D2A0A" w:rsidSect="004B4BF8">
      <w:headerReference w:type="default" r:id="rId9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479A"/>
    <w:rsid w:val="00010F87"/>
    <w:rsid w:val="00013357"/>
    <w:rsid w:val="00014C71"/>
    <w:rsid w:val="0002594A"/>
    <w:rsid w:val="00036EED"/>
    <w:rsid w:val="00050DE8"/>
    <w:rsid w:val="00054F93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0A06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7256C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456BB"/>
    <w:rsid w:val="00457A96"/>
    <w:rsid w:val="00473A66"/>
    <w:rsid w:val="00481254"/>
    <w:rsid w:val="004828A8"/>
    <w:rsid w:val="00482B63"/>
    <w:rsid w:val="00490971"/>
    <w:rsid w:val="0049251E"/>
    <w:rsid w:val="00494E7C"/>
    <w:rsid w:val="00496678"/>
    <w:rsid w:val="00497BE6"/>
    <w:rsid w:val="004A3A69"/>
    <w:rsid w:val="004A4C86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30193"/>
    <w:rsid w:val="00830E8C"/>
    <w:rsid w:val="00836402"/>
    <w:rsid w:val="00836C1D"/>
    <w:rsid w:val="00847EFF"/>
    <w:rsid w:val="00854945"/>
    <w:rsid w:val="00856CD0"/>
    <w:rsid w:val="008627BD"/>
    <w:rsid w:val="00862E3F"/>
    <w:rsid w:val="00863B0C"/>
    <w:rsid w:val="008706E6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C4DA3"/>
    <w:rsid w:val="00AD7444"/>
    <w:rsid w:val="00AF02AD"/>
    <w:rsid w:val="00AF0BEE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B4352"/>
    <w:rsid w:val="00BC70DC"/>
    <w:rsid w:val="00BD5A7B"/>
    <w:rsid w:val="00BE2B0F"/>
    <w:rsid w:val="00BE56BD"/>
    <w:rsid w:val="00BF38D1"/>
    <w:rsid w:val="00BF5E43"/>
    <w:rsid w:val="00C023C5"/>
    <w:rsid w:val="00C077CA"/>
    <w:rsid w:val="00C11230"/>
    <w:rsid w:val="00C24595"/>
    <w:rsid w:val="00C24A5B"/>
    <w:rsid w:val="00C303DA"/>
    <w:rsid w:val="00C37A22"/>
    <w:rsid w:val="00C410E8"/>
    <w:rsid w:val="00C64F49"/>
    <w:rsid w:val="00C65344"/>
    <w:rsid w:val="00C6592C"/>
    <w:rsid w:val="00C86A7E"/>
    <w:rsid w:val="00C87F9D"/>
    <w:rsid w:val="00C92A8D"/>
    <w:rsid w:val="00C934B6"/>
    <w:rsid w:val="00CA105C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3103"/>
    <w:rsid w:val="00D1723B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27C7"/>
    <w:rsid w:val="00ED2D91"/>
    <w:rsid w:val="00EE68B1"/>
    <w:rsid w:val="00EF0F0B"/>
    <w:rsid w:val="00EF3411"/>
    <w:rsid w:val="00F1060F"/>
    <w:rsid w:val="00F12225"/>
    <w:rsid w:val="00F13AC5"/>
    <w:rsid w:val="00F2546F"/>
    <w:rsid w:val="00F26DC5"/>
    <w:rsid w:val="00F335DE"/>
    <w:rsid w:val="00F44B3D"/>
    <w:rsid w:val="00F44BE5"/>
    <w:rsid w:val="00F533F0"/>
    <w:rsid w:val="00F53E12"/>
    <w:rsid w:val="00F566FA"/>
    <w:rsid w:val="00F62CA7"/>
    <w:rsid w:val="00F7272B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CFE22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0597381/artigo-72-da-lei-n-8078-de-11-de-setembro-de-1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91585/c%C3%B3digo-de-defesa-do-consumidor-lei-8078-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Silvana Roberta Amaral Almeida</cp:lastModifiedBy>
  <cp:revision>4</cp:revision>
  <cp:lastPrinted>2019-11-26T12:14:00Z</cp:lastPrinted>
  <dcterms:created xsi:type="dcterms:W3CDTF">2019-11-07T18:49:00Z</dcterms:created>
  <dcterms:modified xsi:type="dcterms:W3CDTF">2019-11-26T14:18:00Z</dcterms:modified>
</cp:coreProperties>
</file>