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898" w:rsidRPr="00CC2B4F" w:rsidRDefault="000D3898" w:rsidP="00E62D86">
      <w:pPr>
        <w:jc w:val="center"/>
        <w:rPr>
          <w:b/>
          <w:u w:val="single"/>
        </w:rPr>
      </w:pPr>
      <w:r w:rsidRPr="00CC2B4F">
        <w:rPr>
          <w:b/>
          <w:u w:val="single"/>
        </w:rPr>
        <w:t>COMISSÃO DE CONSTITUIÇÃO, JUSTIÇA E CIDADANIA</w:t>
      </w:r>
    </w:p>
    <w:p w:rsidR="000D3898" w:rsidRPr="00CC2B4F" w:rsidRDefault="000D3898" w:rsidP="00E62D86">
      <w:pPr>
        <w:jc w:val="center"/>
        <w:rPr>
          <w:b/>
          <w:u w:val="single"/>
        </w:rPr>
      </w:pPr>
    </w:p>
    <w:p w:rsidR="000D3898" w:rsidRPr="00CC2B4F" w:rsidRDefault="000D3898" w:rsidP="00E62D86">
      <w:pPr>
        <w:jc w:val="center"/>
        <w:rPr>
          <w:b/>
          <w:u w:val="single"/>
        </w:rPr>
      </w:pPr>
      <w:r w:rsidRPr="00CC2B4F">
        <w:rPr>
          <w:b/>
          <w:u w:val="single"/>
        </w:rPr>
        <w:t xml:space="preserve">PARECER </w:t>
      </w:r>
      <w:r w:rsidR="00CC2B4F" w:rsidRPr="00CC2B4F">
        <w:rPr>
          <w:b/>
          <w:u w:val="single"/>
        </w:rPr>
        <w:t xml:space="preserve">Nº </w:t>
      </w:r>
      <w:r w:rsidR="0073245C">
        <w:rPr>
          <w:b/>
          <w:u w:val="single"/>
        </w:rPr>
        <w:t>170</w:t>
      </w:r>
      <w:r w:rsidRPr="00CC2B4F">
        <w:rPr>
          <w:b/>
          <w:u w:val="single"/>
        </w:rPr>
        <w:t>/</w:t>
      </w:r>
      <w:r w:rsidR="00CD25D7" w:rsidRPr="00CC2B4F">
        <w:rPr>
          <w:b/>
          <w:u w:val="single"/>
        </w:rPr>
        <w:t xml:space="preserve"> </w:t>
      </w:r>
      <w:r w:rsidRPr="00CC2B4F">
        <w:rPr>
          <w:b/>
          <w:u w:val="single"/>
        </w:rPr>
        <w:t>20</w:t>
      </w:r>
      <w:r w:rsidR="00C24835">
        <w:rPr>
          <w:b/>
          <w:u w:val="single"/>
        </w:rPr>
        <w:t>20</w:t>
      </w:r>
    </w:p>
    <w:p w:rsidR="00766301" w:rsidRPr="00CC2B4F" w:rsidRDefault="00D77E64" w:rsidP="000D3898">
      <w:pPr>
        <w:spacing w:line="360" w:lineRule="auto"/>
        <w:rPr>
          <w:b/>
          <w:i/>
        </w:rPr>
      </w:pPr>
      <w:r w:rsidRPr="00CC2B4F">
        <w:rPr>
          <w:b/>
          <w:i/>
        </w:rPr>
        <w:t xml:space="preserve"> </w:t>
      </w:r>
    </w:p>
    <w:p w:rsidR="000D3898" w:rsidRPr="00CC2B4F" w:rsidRDefault="000D3898" w:rsidP="000D3898">
      <w:pPr>
        <w:spacing w:line="360" w:lineRule="auto"/>
        <w:rPr>
          <w:b/>
          <w:u w:val="single"/>
        </w:rPr>
      </w:pPr>
      <w:r w:rsidRPr="00CC2B4F">
        <w:rPr>
          <w:b/>
          <w:i/>
        </w:rPr>
        <w:t xml:space="preserve"> </w:t>
      </w:r>
      <w:r w:rsidRPr="00CC2B4F">
        <w:rPr>
          <w:b/>
          <w:u w:val="single"/>
        </w:rPr>
        <w:t>RELATÓRIO:</w:t>
      </w:r>
    </w:p>
    <w:p w:rsidR="00766301" w:rsidRPr="00CC2B4F" w:rsidRDefault="00766301" w:rsidP="000D3898">
      <w:pPr>
        <w:spacing w:line="360" w:lineRule="auto"/>
        <w:rPr>
          <w:b/>
          <w:u w:val="single"/>
        </w:rPr>
      </w:pPr>
    </w:p>
    <w:p w:rsidR="00C44805" w:rsidRPr="00CC2B4F" w:rsidRDefault="00C44805" w:rsidP="00C44805">
      <w:pPr>
        <w:spacing w:line="360" w:lineRule="auto"/>
        <w:ind w:right="18" w:firstLine="851"/>
        <w:jc w:val="both"/>
      </w:pPr>
      <w:r w:rsidRPr="00CC2B4F">
        <w:t xml:space="preserve">Trata-se da </w:t>
      </w:r>
      <w:r w:rsidRPr="006D6FF8">
        <w:t xml:space="preserve">análise </w:t>
      </w:r>
      <w:r w:rsidR="006D6FF8" w:rsidRPr="006D6FF8">
        <w:t xml:space="preserve">de constitucionalidade, legalidade, juridicidade </w:t>
      </w:r>
      <w:r w:rsidRPr="006D6FF8">
        <w:t>do</w:t>
      </w:r>
      <w:r w:rsidRPr="00CC2B4F">
        <w:rPr>
          <w:b/>
        </w:rPr>
        <w:t xml:space="preserve"> Projeto de Lei nº</w:t>
      </w:r>
      <w:r w:rsidR="004930D1" w:rsidRPr="00CC2B4F">
        <w:rPr>
          <w:b/>
        </w:rPr>
        <w:t xml:space="preserve"> 524</w:t>
      </w:r>
      <w:r w:rsidRPr="00CC2B4F">
        <w:rPr>
          <w:b/>
        </w:rPr>
        <w:t>/2019,</w:t>
      </w:r>
      <w:r w:rsidRPr="00CC2B4F">
        <w:t xml:space="preserve"> de autoria da Senhora Deputada </w:t>
      </w:r>
      <w:proofErr w:type="spellStart"/>
      <w:r w:rsidR="004930D1" w:rsidRPr="00CC2B4F">
        <w:t>Thaíza</w:t>
      </w:r>
      <w:proofErr w:type="spellEnd"/>
      <w:r w:rsidR="004930D1" w:rsidRPr="00CC2B4F">
        <w:t xml:space="preserve"> </w:t>
      </w:r>
      <w:proofErr w:type="spellStart"/>
      <w:r w:rsidR="004930D1" w:rsidRPr="00CC2B4F">
        <w:t>Hortegal</w:t>
      </w:r>
      <w:proofErr w:type="spellEnd"/>
      <w:r w:rsidRPr="00CC2B4F">
        <w:t xml:space="preserve">, que </w:t>
      </w:r>
      <w:r w:rsidR="004930D1" w:rsidRPr="00CC2B4F">
        <w:t xml:space="preserve">Institui </w:t>
      </w:r>
      <w:r w:rsidRPr="00CC2B4F">
        <w:t>no Calendário Oficial do Estado do Maranhão, o “</w:t>
      </w:r>
      <w:r w:rsidRPr="006D6FF8">
        <w:rPr>
          <w:i/>
        </w:rPr>
        <w:t xml:space="preserve">Dia </w:t>
      </w:r>
      <w:r w:rsidR="004930D1" w:rsidRPr="006D6FF8">
        <w:rPr>
          <w:i/>
        </w:rPr>
        <w:t>Estadual de Conscientização, Prevenção e Combate à Dependência Tecnológic</w:t>
      </w:r>
      <w:r w:rsidR="004930D1" w:rsidRPr="00CC2B4F">
        <w:t>a</w:t>
      </w:r>
      <w:r w:rsidR="006D6FF8">
        <w:t>”</w:t>
      </w:r>
      <w:r w:rsidR="004930D1" w:rsidRPr="00CC2B4F">
        <w:t>.</w:t>
      </w:r>
    </w:p>
    <w:p w:rsidR="00AC2D51" w:rsidRPr="00CC2B4F" w:rsidRDefault="00C44805" w:rsidP="00C44805">
      <w:pPr>
        <w:spacing w:line="360" w:lineRule="auto"/>
        <w:ind w:right="18" w:firstLine="851"/>
        <w:jc w:val="both"/>
      </w:pPr>
      <w:r w:rsidRPr="00CC2B4F">
        <w:t>Nos termos do presente Projeto de Lei</w:t>
      </w:r>
      <w:r w:rsidR="00E51813" w:rsidRPr="00CC2B4F">
        <w:t>,</w:t>
      </w:r>
      <w:r w:rsidRPr="00CC2B4F">
        <w:t xml:space="preserve"> fica instituído no Calendário Oficial do Estado do Maranhão</w:t>
      </w:r>
      <w:r w:rsidR="00E51813" w:rsidRPr="00CC2B4F">
        <w:t>,</w:t>
      </w:r>
      <w:r w:rsidRPr="00CC2B4F">
        <w:t xml:space="preserve"> o “</w:t>
      </w:r>
      <w:r w:rsidRPr="00CC2B4F">
        <w:rPr>
          <w:i/>
        </w:rPr>
        <w:t>Dia</w:t>
      </w:r>
      <w:r w:rsidR="004930D1" w:rsidRPr="00CC2B4F">
        <w:t xml:space="preserve"> de Conscientização, Prevenção e Combate à Dependência Tecnológica</w:t>
      </w:r>
      <w:r w:rsidRPr="00CC2B4F">
        <w:t>”, a ser comemorado, anualmente</w:t>
      </w:r>
      <w:r w:rsidR="00AC2D51" w:rsidRPr="00CC2B4F">
        <w:t>.</w:t>
      </w:r>
    </w:p>
    <w:p w:rsidR="00AC2D51" w:rsidRPr="00CC2B4F" w:rsidRDefault="00AC2D51" w:rsidP="00AC2D51">
      <w:pPr>
        <w:spacing w:line="360" w:lineRule="auto"/>
        <w:ind w:right="18" w:firstLine="851"/>
        <w:jc w:val="both"/>
      </w:pPr>
      <w:r w:rsidRPr="00CC2B4F">
        <w:t>Convém relatar, que dentro do prazo regimental, a autora da propositura de Lei, apresentou 01 Emenda Substitutiva aprimorando o texto do projeto original, inclusive fixando a data a ser comemorada no dia 22 (vinte e dois) de outubro.</w:t>
      </w:r>
    </w:p>
    <w:p w:rsidR="00C44805" w:rsidRPr="00CC2B4F" w:rsidRDefault="00C44805" w:rsidP="00C44805">
      <w:pPr>
        <w:spacing w:line="360" w:lineRule="auto"/>
        <w:ind w:right="18" w:firstLine="851"/>
        <w:jc w:val="both"/>
      </w:pPr>
      <w:r w:rsidRPr="00CC2B4F">
        <w:t xml:space="preserve"> Para proceder ao exame da competência legislativa do Estado- membro para dispor sobre a instituição de data comemorativa, é importante considerar alguns dispositivos da Constituição Federal. </w:t>
      </w:r>
    </w:p>
    <w:p w:rsidR="00C44805" w:rsidRPr="00CC2B4F" w:rsidRDefault="00C44805" w:rsidP="00C44805">
      <w:pPr>
        <w:spacing w:line="360" w:lineRule="auto"/>
        <w:ind w:right="18" w:firstLine="851"/>
        <w:jc w:val="both"/>
      </w:pPr>
      <w:r w:rsidRPr="00CC2B4F">
        <w:t>De acordo com a Constituição da República, o art. 22, enumera as matérias sobre as quais cabe à União legislar privativamente, em que predomina o interesse nacional, e o art. 30, inciso I, relaciona os assuntos que cabem aos Municípios, de interesse local.  Ao Estado-membro, segundo o § 1º do art. 25, estão reservadas as matérias que não se enquadram no campo privativo da União ou do Município.</w:t>
      </w:r>
    </w:p>
    <w:p w:rsidR="00C44805" w:rsidRPr="00CC2B4F" w:rsidRDefault="00C44805" w:rsidP="00C44805">
      <w:pPr>
        <w:spacing w:line="360" w:lineRule="auto"/>
        <w:ind w:right="18" w:firstLine="851"/>
        <w:jc w:val="both"/>
      </w:pPr>
      <w:r w:rsidRPr="00CC2B4F">
        <w:t>Note-se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:rsidR="00C44805" w:rsidRDefault="00C44805" w:rsidP="00C44805">
      <w:pPr>
        <w:spacing w:line="360" w:lineRule="auto"/>
        <w:ind w:right="18" w:firstLine="851"/>
        <w:jc w:val="both"/>
        <w:rPr>
          <w:i/>
        </w:rPr>
      </w:pPr>
      <w:r w:rsidRPr="00CC2B4F">
        <w:t>No mesmo sentido, parecer da Advocacia-Geral da União na ADI 3069/DF acerca da instituição do Dia do Comerciário:</w:t>
      </w:r>
      <w:r w:rsidRPr="00CC2B4F">
        <w:rPr>
          <w:i/>
        </w:rPr>
        <w:t xml:space="preserve"> </w:t>
      </w:r>
    </w:p>
    <w:p w:rsidR="00957997" w:rsidRPr="00CC2B4F" w:rsidRDefault="00957997" w:rsidP="00C44805">
      <w:pPr>
        <w:spacing w:line="360" w:lineRule="auto"/>
        <w:ind w:right="18" w:firstLine="851"/>
        <w:jc w:val="both"/>
        <w:rPr>
          <w:i/>
        </w:rPr>
      </w:pPr>
    </w:p>
    <w:p w:rsidR="00C44805" w:rsidRPr="00CC2B4F" w:rsidRDefault="00C44805" w:rsidP="00C44805">
      <w:pPr>
        <w:spacing w:line="360" w:lineRule="auto"/>
        <w:ind w:right="18" w:firstLine="851"/>
        <w:jc w:val="both"/>
        <w:rPr>
          <w:i/>
        </w:rPr>
      </w:pPr>
    </w:p>
    <w:p w:rsidR="00C44805" w:rsidRPr="00CC2B4F" w:rsidRDefault="00C44805" w:rsidP="00C44805">
      <w:pPr>
        <w:widowControl w:val="0"/>
        <w:tabs>
          <w:tab w:val="left" w:pos="180"/>
        </w:tabs>
        <w:ind w:left="2340"/>
        <w:jc w:val="both"/>
        <w:rPr>
          <w:b/>
          <w:i/>
          <w:snapToGrid w:val="0"/>
          <w:sz w:val="20"/>
          <w:szCs w:val="20"/>
          <w:u w:val="single"/>
        </w:rPr>
      </w:pPr>
      <w:r w:rsidRPr="00CC2B4F">
        <w:rPr>
          <w:b/>
          <w:i/>
          <w:snapToGrid w:val="0"/>
          <w:sz w:val="20"/>
          <w:szCs w:val="20"/>
        </w:rPr>
        <w:t xml:space="preserve">A Advocacia-Geral da União, em sua manifestação (fls. 23/30), </w:t>
      </w:r>
      <w:r w:rsidRPr="00CC2B4F">
        <w:rPr>
          <w:b/>
          <w:i/>
          <w:snapToGrid w:val="0"/>
          <w:sz w:val="20"/>
          <w:szCs w:val="20"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CC2B4F">
        <w:rPr>
          <w:b/>
          <w:i/>
          <w:snapToGrid w:val="0"/>
          <w:sz w:val="20"/>
          <w:szCs w:val="20"/>
        </w:rPr>
        <w:t xml:space="preserve">, </w:t>
      </w:r>
      <w:r w:rsidRPr="00CC2B4F">
        <w:rPr>
          <w:b/>
          <w:i/>
          <w:snapToGrid w:val="0"/>
          <w:sz w:val="20"/>
          <w:szCs w:val="20"/>
          <w:u w:val="single"/>
        </w:rPr>
        <w:t>havendo, nesse sentido, várias datas que festejam fatos ou personagens históricos, direitos fundamentais, categorias profissionais, pessoas, coisas, instituições etc.</w:t>
      </w:r>
    </w:p>
    <w:p w:rsidR="00C44805" w:rsidRPr="00CC2B4F" w:rsidRDefault="00C44805" w:rsidP="00C44805">
      <w:pPr>
        <w:widowControl w:val="0"/>
        <w:tabs>
          <w:tab w:val="left" w:pos="180"/>
        </w:tabs>
        <w:ind w:left="2340"/>
        <w:jc w:val="both"/>
        <w:rPr>
          <w:b/>
          <w:i/>
          <w:snapToGrid w:val="0"/>
          <w:sz w:val="20"/>
          <w:szCs w:val="20"/>
        </w:rPr>
      </w:pPr>
      <w:r w:rsidRPr="00CC2B4F">
        <w:rPr>
          <w:b/>
          <w:i/>
          <w:snapToGrid w:val="0"/>
          <w:sz w:val="20"/>
          <w:szCs w:val="20"/>
          <w:u w:val="single"/>
        </w:rPr>
        <w:t xml:space="preserve">Afirma, todavia, que a fixação de data de comemoração não se confunde com a criação de feriado, iniciativa esta que “ocasiona reflexos nas relações de trabalho devido à obrigatoriedade do pagamento de salários” </w:t>
      </w:r>
      <w:r w:rsidRPr="00CC2B4F">
        <w:rPr>
          <w:b/>
          <w:i/>
          <w:snapToGrid w:val="0"/>
          <w:sz w:val="20"/>
          <w:szCs w:val="20"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:rsidR="003A33E7" w:rsidRPr="00CC2B4F" w:rsidRDefault="003A33E7" w:rsidP="003A33E7">
      <w:pPr>
        <w:widowControl w:val="0"/>
        <w:tabs>
          <w:tab w:val="left" w:pos="6240"/>
        </w:tabs>
        <w:autoSpaceDE w:val="0"/>
        <w:autoSpaceDN w:val="0"/>
        <w:adjustRightInd w:val="0"/>
        <w:spacing w:line="360" w:lineRule="auto"/>
        <w:ind w:left="14" w:right="67" w:firstLine="993"/>
        <w:jc w:val="both"/>
      </w:pPr>
      <w:r w:rsidRPr="00CC2B4F">
        <w:t xml:space="preserve">  </w:t>
      </w:r>
    </w:p>
    <w:p w:rsidR="00C44805" w:rsidRPr="00CC2B4F" w:rsidRDefault="00C44805" w:rsidP="00C44805">
      <w:pPr>
        <w:spacing w:line="360" w:lineRule="auto"/>
        <w:ind w:firstLine="851"/>
        <w:jc w:val="both"/>
      </w:pPr>
      <w:r w:rsidRPr="00CC2B4F"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:rsidR="00C44805" w:rsidRPr="00CC2B4F" w:rsidRDefault="00C44805" w:rsidP="00C44805">
      <w:pPr>
        <w:spacing w:line="360" w:lineRule="auto"/>
        <w:ind w:firstLine="851"/>
        <w:jc w:val="both"/>
      </w:pPr>
      <w:r w:rsidRPr="00CC2B4F">
        <w:t xml:space="preserve">Ao examinar a matéria verifica-se que a mesma é de natureza legislativa e, quanto à iniciativa não se inclui dentre as de iniciativa privativa, constantes do art. 43, da CE/89. </w:t>
      </w:r>
    </w:p>
    <w:p w:rsidR="00C44805" w:rsidRPr="00CC2B4F" w:rsidRDefault="00C44805" w:rsidP="00C44805">
      <w:pPr>
        <w:spacing w:line="360" w:lineRule="auto"/>
        <w:ind w:firstLine="851"/>
        <w:jc w:val="both"/>
      </w:pPr>
      <w:r w:rsidRPr="00CC2B4F">
        <w:t>Assim, no caso em tela, a observância da reserva de iniciativa ao Projeto de Lei torna evidente por não haver qualquer vício formal à norma jurídica a ser editada.</w:t>
      </w:r>
    </w:p>
    <w:p w:rsidR="00AC2D51" w:rsidRPr="00CC2B4F" w:rsidRDefault="00AC2D51" w:rsidP="00C44805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</w:p>
    <w:p w:rsidR="00C44805" w:rsidRPr="00CC2B4F" w:rsidRDefault="00C44805" w:rsidP="00C44805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CC2B4F">
        <w:rPr>
          <w:rFonts w:eastAsia="Calibri"/>
          <w:b/>
          <w:u w:val="single"/>
          <w:lang w:eastAsia="en-US"/>
        </w:rPr>
        <w:t>VOTO DO RELATOR:</w:t>
      </w:r>
    </w:p>
    <w:p w:rsidR="00AC2D51" w:rsidRDefault="00AC2D51" w:rsidP="00AC2D51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CC2B4F">
        <w:t xml:space="preserve">Isto posto, opina-se pela </w:t>
      </w:r>
      <w:r w:rsidRPr="00C24835">
        <w:rPr>
          <w:b/>
        </w:rPr>
        <w:t>aprovação do Projeto de Lei nº 524/2019</w:t>
      </w:r>
      <w:r w:rsidRPr="00CC2B4F">
        <w:t xml:space="preserve">, com o acolhimento da Emenda Substitutiva, apresentada pela Senhora Deputada </w:t>
      </w:r>
      <w:proofErr w:type="spellStart"/>
      <w:r w:rsidRPr="00CC2B4F">
        <w:t>Thaiza</w:t>
      </w:r>
      <w:proofErr w:type="spellEnd"/>
      <w:r w:rsidRPr="00CC2B4F">
        <w:t xml:space="preserve"> </w:t>
      </w:r>
      <w:proofErr w:type="spellStart"/>
      <w:r w:rsidRPr="00CC2B4F">
        <w:t>Hortegal</w:t>
      </w:r>
      <w:proofErr w:type="spellEnd"/>
      <w:r w:rsidR="006D6FF8">
        <w:t>, com nova redação proposta ao art. 1º, da seguinte forma:</w:t>
      </w:r>
    </w:p>
    <w:p w:rsidR="006D6FF8" w:rsidRPr="006D6FF8" w:rsidRDefault="006D6FF8" w:rsidP="006D6FF8">
      <w:pPr>
        <w:autoSpaceDE w:val="0"/>
        <w:autoSpaceDN w:val="0"/>
        <w:adjustRightInd w:val="0"/>
        <w:spacing w:line="360" w:lineRule="auto"/>
        <w:ind w:left="851" w:firstLine="850"/>
        <w:jc w:val="both"/>
        <w:rPr>
          <w:i/>
        </w:rPr>
      </w:pPr>
      <w:r>
        <w:rPr>
          <w:i/>
        </w:rPr>
        <w:t>“</w:t>
      </w:r>
      <w:r w:rsidRPr="006D6FF8">
        <w:rPr>
          <w:i/>
        </w:rPr>
        <w:t>Art. 1º Fica instituído o Dia Estadual de Conscientização, Prevenção e Combate à Dependência Tecnológica, a ser comemorado</w:t>
      </w:r>
      <w:r>
        <w:rPr>
          <w:i/>
        </w:rPr>
        <w:t xml:space="preserve">, anualmente, </w:t>
      </w:r>
      <w:r w:rsidR="0035047D">
        <w:rPr>
          <w:i/>
        </w:rPr>
        <w:t>no dia 22</w:t>
      </w:r>
      <w:r>
        <w:rPr>
          <w:i/>
        </w:rPr>
        <w:t xml:space="preserve"> de outubro”</w:t>
      </w:r>
      <w:r w:rsidRPr="006D6FF8">
        <w:rPr>
          <w:i/>
        </w:rPr>
        <w:t>.</w:t>
      </w:r>
    </w:p>
    <w:p w:rsidR="00C44805" w:rsidRPr="00CC2B4F" w:rsidRDefault="00C44805" w:rsidP="00C44805">
      <w:pPr>
        <w:spacing w:line="360" w:lineRule="auto"/>
        <w:ind w:right="18" w:firstLine="851"/>
        <w:jc w:val="both"/>
      </w:pPr>
      <w:r w:rsidRPr="00CC2B4F">
        <w:t xml:space="preserve">      É o voto.</w:t>
      </w:r>
    </w:p>
    <w:p w:rsidR="00C44805" w:rsidRDefault="00C44805" w:rsidP="000D3898">
      <w:pPr>
        <w:spacing w:line="360" w:lineRule="auto"/>
        <w:jc w:val="both"/>
        <w:rPr>
          <w:b/>
          <w:u w:val="single"/>
        </w:rPr>
      </w:pPr>
    </w:p>
    <w:p w:rsidR="006E5333" w:rsidRPr="00CC2B4F" w:rsidRDefault="006E5333" w:rsidP="006E5333">
      <w:pPr>
        <w:jc w:val="both"/>
        <w:rPr>
          <w:b/>
          <w:u w:val="single"/>
        </w:rPr>
      </w:pPr>
      <w:r w:rsidRPr="00CC2B4F">
        <w:rPr>
          <w:b/>
          <w:u w:val="single"/>
        </w:rPr>
        <w:lastRenderedPageBreak/>
        <w:t>PARECER DA COMISSÃO:</w:t>
      </w:r>
    </w:p>
    <w:p w:rsidR="006E5333" w:rsidRPr="00CC2B4F" w:rsidRDefault="006E5333" w:rsidP="006E5333">
      <w:pPr>
        <w:jc w:val="both"/>
        <w:rPr>
          <w:b/>
          <w:u w:val="single"/>
        </w:rPr>
      </w:pPr>
    </w:p>
    <w:p w:rsidR="006E5333" w:rsidRPr="00CC2B4F" w:rsidRDefault="006E5333" w:rsidP="005138E7">
      <w:pPr>
        <w:spacing w:line="360" w:lineRule="auto"/>
        <w:ind w:firstLine="851"/>
        <w:jc w:val="both"/>
      </w:pPr>
      <w:r w:rsidRPr="00CC2B4F">
        <w:t>Os membros da Comissão de Constituição, Justiça e Cidadania votam</w:t>
      </w:r>
      <w:r w:rsidR="00CD25D7" w:rsidRPr="00CC2B4F">
        <w:t xml:space="preserve"> pela </w:t>
      </w:r>
      <w:r w:rsidR="00CD25D7" w:rsidRPr="00CC2B4F">
        <w:rPr>
          <w:b/>
        </w:rPr>
        <w:t>aprovação d</w:t>
      </w:r>
      <w:r w:rsidR="003A33E7" w:rsidRPr="00CC2B4F">
        <w:rPr>
          <w:b/>
        </w:rPr>
        <w:t xml:space="preserve">o Projeto de Lei </w:t>
      </w:r>
      <w:r w:rsidR="00CD25D7" w:rsidRPr="00CC2B4F">
        <w:rPr>
          <w:b/>
        </w:rPr>
        <w:t xml:space="preserve">nº </w:t>
      </w:r>
      <w:r w:rsidR="00C44805" w:rsidRPr="00CC2B4F">
        <w:rPr>
          <w:b/>
        </w:rPr>
        <w:t>52</w:t>
      </w:r>
      <w:r w:rsidR="004930D1" w:rsidRPr="00CC2B4F">
        <w:rPr>
          <w:b/>
        </w:rPr>
        <w:t>4</w:t>
      </w:r>
      <w:r w:rsidR="00CD25D7" w:rsidRPr="00CC2B4F">
        <w:rPr>
          <w:b/>
        </w:rPr>
        <w:t>/2019</w:t>
      </w:r>
      <w:r w:rsidR="00CD25D7" w:rsidRPr="00CC2B4F">
        <w:t xml:space="preserve">, </w:t>
      </w:r>
      <w:r w:rsidRPr="00CC2B4F">
        <w:t>nos termos do voto do Relator.</w:t>
      </w:r>
    </w:p>
    <w:p w:rsidR="006E5333" w:rsidRPr="00CC2B4F" w:rsidRDefault="006E5333" w:rsidP="005138E7">
      <w:pPr>
        <w:spacing w:line="360" w:lineRule="auto"/>
        <w:ind w:firstLine="851"/>
        <w:jc w:val="both"/>
      </w:pPr>
      <w:r w:rsidRPr="00CC2B4F">
        <w:t>É o parecer.</w:t>
      </w:r>
    </w:p>
    <w:p w:rsidR="00C24835" w:rsidRPr="00C24835" w:rsidRDefault="00C24835" w:rsidP="00C24835">
      <w:pPr>
        <w:spacing w:line="360" w:lineRule="auto"/>
        <w:ind w:firstLine="426"/>
        <w:jc w:val="both"/>
        <w:rPr>
          <w:rFonts w:eastAsia="Calibri"/>
          <w:sz w:val="22"/>
          <w:szCs w:val="22"/>
        </w:rPr>
      </w:pPr>
      <w:r w:rsidRPr="00C24835">
        <w:rPr>
          <w:rFonts w:eastAsia="Calibri"/>
          <w:sz w:val="22"/>
          <w:szCs w:val="22"/>
        </w:rPr>
        <w:t xml:space="preserve">   </w:t>
      </w:r>
      <w:r>
        <w:rPr>
          <w:rFonts w:eastAsia="Calibri"/>
          <w:sz w:val="22"/>
          <w:szCs w:val="22"/>
        </w:rPr>
        <w:t xml:space="preserve">     </w:t>
      </w:r>
      <w:r w:rsidRPr="00C24835">
        <w:rPr>
          <w:rFonts w:eastAsia="Calibri"/>
          <w:sz w:val="22"/>
          <w:szCs w:val="22"/>
        </w:rPr>
        <w:t xml:space="preserve">SALA DAS COMISSÕES “DEPUTADO LÉO FRANKLIM”, em </w:t>
      </w:r>
      <w:r w:rsidRPr="00C24835">
        <w:rPr>
          <w:rFonts w:eastAsia="Calibri"/>
        </w:rPr>
        <w:t>1</w:t>
      </w:r>
      <w:r w:rsidR="008A5DFC">
        <w:rPr>
          <w:rFonts w:eastAsia="Calibri"/>
        </w:rPr>
        <w:t>7</w:t>
      </w:r>
      <w:r w:rsidRPr="00C24835">
        <w:rPr>
          <w:rFonts w:eastAsia="Calibri"/>
        </w:rPr>
        <w:t xml:space="preserve"> de </w:t>
      </w:r>
      <w:r w:rsidR="008A5DFC">
        <w:rPr>
          <w:rFonts w:eastAsia="Calibri"/>
        </w:rPr>
        <w:t>março</w:t>
      </w:r>
      <w:r w:rsidRPr="00C24835">
        <w:rPr>
          <w:rFonts w:eastAsia="Calibri"/>
        </w:rPr>
        <w:t xml:space="preserve"> </w:t>
      </w:r>
      <w:r w:rsidRPr="00C24835">
        <w:rPr>
          <w:rFonts w:eastAsia="Calibri"/>
          <w:sz w:val="22"/>
          <w:szCs w:val="22"/>
        </w:rPr>
        <w:t xml:space="preserve">de 2020.    </w:t>
      </w:r>
    </w:p>
    <w:p w:rsidR="00766B20" w:rsidRPr="00CC2B4F" w:rsidRDefault="00766B20" w:rsidP="00766B20">
      <w:pPr>
        <w:autoSpaceDE w:val="0"/>
        <w:autoSpaceDN w:val="0"/>
        <w:adjustRightInd w:val="0"/>
        <w:spacing w:after="200" w:line="360" w:lineRule="auto"/>
        <w:ind w:left="3969"/>
        <w:jc w:val="both"/>
        <w:rPr>
          <w:b/>
          <w:color w:val="000000"/>
        </w:rPr>
      </w:pPr>
    </w:p>
    <w:p w:rsidR="00E4049F" w:rsidRDefault="00E4049F" w:rsidP="00E4049F">
      <w:pPr>
        <w:autoSpaceDE w:val="0"/>
        <w:autoSpaceDN w:val="0"/>
        <w:adjustRightInd w:val="0"/>
        <w:ind w:hanging="28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</w:t>
      </w:r>
      <w:r>
        <w:rPr>
          <w:rFonts w:eastAsia="Calibri"/>
          <w:b/>
          <w:color w:val="000000"/>
        </w:rPr>
        <w:t xml:space="preserve">Presidente: </w:t>
      </w:r>
      <w:r>
        <w:rPr>
          <w:rFonts w:eastAsia="Calibri"/>
          <w:color w:val="000000"/>
        </w:rPr>
        <w:t>Deputado Ricardo Rios</w:t>
      </w: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color w:val="000000"/>
        </w:rPr>
        <w:t xml:space="preserve">                                                         </w:t>
      </w:r>
    </w:p>
    <w:p w:rsidR="00E4049F" w:rsidRDefault="00E4049F" w:rsidP="00E4049F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Relator:</w:t>
      </w:r>
      <w:r>
        <w:rPr>
          <w:rFonts w:eastAsia="Calibri"/>
          <w:color w:val="000000"/>
        </w:rPr>
        <w:t xml:space="preserve"> Deputado</w:t>
      </w:r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color w:val="000000"/>
        </w:rPr>
        <w:t xml:space="preserve">Ricardo Rios </w:t>
      </w:r>
      <w:bookmarkStart w:id="0" w:name="_GoBack"/>
      <w:bookmarkEnd w:id="0"/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</w:t>
      </w:r>
      <w:proofErr w:type="gramStart"/>
      <w:r>
        <w:rPr>
          <w:rFonts w:eastAsia="Calibri"/>
          <w:b/>
          <w:color w:val="000000"/>
        </w:rPr>
        <w:t>favor                                                                    Vota</w:t>
      </w:r>
      <w:proofErr w:type="gramEnd"/>
      <w:r>
        <w:rPr>
          <w:rFonts w:eastAsia="Calibri"/>
          <w:b/>
          <w:color w:val="000000"/>
        </w:rPr>
        <w:t xml:space="preserve"> contra</w:t>
      </w: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Zé Inácio                                                __________________________</w:t>
      </w: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Deputado  Ciro</w:t>
      </w:r>
      <w:proofErr w:type="gramEnd"/>
      <w:r>
        <w:rPr>
          <w:rFonts w:eastAsia="Calibri"/>
          <w:color w:val="000000"/>
        </w:rPr>
        <w:t xml:space="preserve"> Neto                                               __________________________</w:t>
      </w: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Rafael Leitoa</w:t>
      </w:r>
      <w:r>
        <w:rPr>
          <w:rFonts w:eastAsia="Calibri"/>
          <w:color w:val="000000"/>
        </w:rPr>
        <w:t xml:space="preserve">                                         __________________________</w:t>
      </w: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                                      __________________________</w:t>
      </w:r>
    </w:p>
    <w:p w:rsidR="00E4049F" w:rsidRDefault="00E4049F" w:rsidP="00E4049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Theme="minorHAnsi"/>
        </w:rPr>
      </w:pPr>
      <w:r>
        <w:rPr>
          <w:rFonts w:eastAsia="Calibri"/>
          <w:color w:val="000000"/>
        </w:rPr>
        <w:t>______________________                                     __________________________</w:t>
      </w:r>
    </w:p>
    <w:p w:rsidR="00E4049F" w:rsidRDefault="00E4049F" w:rsidP="00E4049F">
      <w:pPr>
        <w:spacing w:line="360" w:lineRule="auto"/>
        <w:ind w:firstLine="851"/>
        <w:jc w:val="center"/>
        <w:rPr>
          <w:rFonts w:asciiTheme="minorHAnsi" w:hAnsiTheme="minorHAnsi"/>
          <w:iCs/>
        </w:rPr>
      </w:pPr>
    </w:p>
    <w:p w:rsidR="004E0667" w:rsidRPr="00CC2B4F" w:rsidRDefault="004E0667" w:rsidP="004E0667">
      <w:pPr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</w:p>
    <w:sectPr w:rsidR="004E0667" w:rsidRPr="00CC2B4F" w:rsidSect="00FB555C">
      <w:headerReference w:type="default" r:id="rId6"/>
      <w:pgSz w:w="11906" w:h="16838"/>
      <w:pgMar w:top="2977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01" w:rsidRDefault="00766301" w:rsidP="00816706">
      <w:r>
        <w:separator/>
      </w:r>
    </w:p>
  </w:endnote>
  <w:endnote w:type="continuationSeparator" w:id="0">
    <w:p w:rsidR="00766301" w:rsidRDefault="00766301" w:rsidP="008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01" w:rsidRDefault="00766301" w:rsidP="00816706">
      <w:r>
        <w:separator/>
      </w:r>
    </w:p>
  </w:footnote>
  <w:footnote w:type="continuationSeparator" w:id="0">
    <w:p w:rsidR="00766301" w:rsidRDefault="00766301" w:rsidP="008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301" w:rsidRPr="00816706" w:rsidRDefault="00766301" w:rsidP="00816706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57AE18E5" wp14:editId="4CFDF46A">
          <wp:extent cx="946150" cy="8191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301" w:rsidRPr="004D6E31" w:rsidRDefault="00766301" w:rsidP="00816706">
    <w:pPr>
      <w:pStyle w:val="Cabealho"/>
      <w:jc w:val="center"/>
    </w:pPr>
    <w:r w:rsidRPr="004D6E31">
      <w:t>ESTADO DO MARANHÃO</w:t>
    </w:r>
  </w:p>
  <w:p w:rsidR="00766301" w:rsidRPr="004D6E31" w:rsidRDefault="00766301" w:rsidP="00816706">
    <w:pPr>
      <w:pStyle w:val="Cabealho"/>
      <w:jc w:val="center"/>
    </w:pPr>
    <w:r w:rsidRPr="004D6E31">
      <w:t>ASSEMBLEIA LEGISLATIVA DO MARANHÃO</w:t>
    </w:r>
  </w:p>
  <w:p w:rsidR="00766301" w:rsidRPr="004D6E31" w:rsidRDefault="00766301" w:rsidP="00816706">
    <w:pPr>
      <w:pStyle w:val="Cabealho"/>
      <w:jc w:val="center"/>
      <w:rPr>
        <w:b/>
        <w:sz w:val="18"/>
        <w:szCs w:val="18"/>
      </w:rPr>
    </w:pPr>
    <w:r w:rsidRPr="004D6E31">
      <w:rPr>
        <w:b/>
        <w:sz w:val="18"/>
        <w:szCs w:val="18"/>
      </w:rPr>
      <w:t>INSTALADA EM 16 DE FEVEREIRO DE 1835</w:t>
    </w:r>
  </w:p>
  <w:p w:rsidR="00766301" w:rsidRPr="004D6E31" w:rsidRDefault="00766301" w:rsidP="00816706">
    <w:pPr>
      <w:pStyle w:val="Cabealho"/>
      <w:jc w:val="center"/>
    </w:pPr>
    <w:r w:rsidRPr="004D6E31">
      <w:t>DIRETORIA LEGISLATIVA</w:t>
    </w:r>
  </w:p>
  <w:p w:rsidR="00766301" w:rsidRPr="00816706" w:rsidRDefault="007663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29BC"/>
    <w:rsid w:val="00014C71"/>
    <w:rsid w:val="000345CD"/>
    <w:rsid w:val="00036EED"/>
    <w:rsid w:val="0005071E"/>
    <w:rsid w:val="000542B4"/>
    <w:rsid w:val="00054F93"/>
    <w:rsid w:val="00074787"/>
    <w:rsid w:val="0007488E"/>
    <w:rsid w:val="000812C6"/>
    <w:rsid w:val="000C63A0"/>
    <w:rsid w:val="000D3898"/>
    <w:rsid w:val="000D3925"/>
    <w:rsid w:val="000E1124"/>
    <w:rsid w:val="000F55BC"/>
    <w:rsid w:val="000F617C"/>
    <w:rsid w:val="00116115"/>
    <w:rsid w:val="00124BA4"/>
    <w:rsid w:val="001337D3"/>
    <w:rsid w:val="00146678"/>
    <w:rsid w:val="00152ED0"/>
    <w:rsid w:val="00173535"/>
    <w:rsid w:val="00181EB7"/>
    <w:rsid w:val="00190572"/>
    <w:rsid w:val="001A2486"/>
    <w:rsid w:val="001B67ED"/>
    <w:rsid w:val="001C21F0"/>
    <w:rsid w:val="001C39EC"/>
    <w:rsid w:val="001C6436"/>
    <w:rsid w:val="001C65EE"/>
    <w:rsid w:val="001D103E"/>
    <w:rsid w:val="001D4460"/>
    <w:rsid w:val="001E1489"/>
    <w:rsid w:val="001E5C1A"/>
    <w:rsid w:val="001F1A4E"/>
    <w:rsid w:val="00216D21"/>
    <w:rsid w:val="00222192"/>
    <w:rsid w:val="00227322"/>
    <w:rsid w:val="002336E1"/>
    <w:rsid w:val="002412EF"/>
    <w:rsid w:val="00244FAC"/>
    <w:rsid w:val="00246C9D"/>
    <w:rsid w:val="00253383"/>
    <w:rsid w:val="00254ED7"/>
    <w:rsid w:val="002824B4"/>
    <w:rsid w:val="00284A9D"/>
    <w:rsid w:val="002A11E1"/>
    <w:rsid w:val="002E5FA8"/>
    <w:rsid w:val="00313D3D"/>
    <w:rsid w:val="0032012E"/>
    <w:rsid w:val="00347326"/>
    <w:rsid w:val="0035047D"/>
    <w:rsid w:val="00352A96"/>
    <w:rsid w:val="00353719"/>
    <w:rsid w:val="003A33E7"/>
    <w:rsid w:val="003A70B7"/>
    <w:rsid w:val="003C2637"/>
    <w:rsid w:val="003E385B"/>
    <w:rsid w:val="003E4348"/>
    <w:rsid w:val="003E4AE7"/>
    <w:rsid w:val="003F2101"/>
    <w:rsid w:val="003F2951"/>
    <w:rsid w:val="003F4885"/>
    <w:rsid w:val="00404729"/>
    <w:rsid w:val="0042132C"/>
    <w:rsid w:val="0043343D"/>
    <w:rsid w:val="00433A89"/>
    <w:rsid w:val="004424E0"/>
    <w:rsid w:val="00444710"/>
    <w:rsid w:val="004514EB"/>
    <w:rsid w:val="00456BBE"/>
    <w:rsid w:val="00482B63"/>
    <w:rsid w:val="00482F31"/>
    <w:rsid w:val="00492DFB"/>
    <w:rsid w:val="004930D1"/>
    <w:rsid w:val="00497BE6"/>
    <w:rsid w:val="00497DC2"/>
    <w:rsid w:val="004A4C86"/>
    <w:rsid w:val="004B0E72"/>
    <w:rsid w:val="004B7E95"/>
    <w:rsid w:val="004C2D31"/>
    <w:rsid w:val="004D6E31"/>
    <w:rsid w:val="004E0667"/>
    <w:rsid w:val="004E1EA3"/>
    <w:rsid w:val="004F21F8"/>
    <w:rsid w:val="004F5433"/>
    <w:rsid w:val="004F612B"/>
    <w:rsid w:val="0051250E"/>
    <w:rsid w:val="005138E7"/>
    <w:rsid w:val="00513E9E"/>
    <w:rsid w:val="005204C7"/>
    <w:rsid w:val="00523FDA"/>
    <w:rsid w:val="00534392"/>
    <w:rsid w:val="00563FD5"/>
    <w:rsid w:val="00580870"/>
    <w:rsid w:val="005812D0"/>
    <w:rsid w:val="00584C33"/>
    <w:rsid w:val="00591CC4"/>
    <w:rsid w:val="00592442"/>
    <w:rsid w:val="005933F3"/>
    <w:rsid w:val="00596712"/>
    <w:rsid w:val="005B016D"/>
    <w:rsid w:val="005C5323"/>
    <w:rsid w:val="005C65CB"/>
    <w:rsid w:val="005D16AF"/>
    <w:rsid w:val="005D42B0"/>
    <w:rsid w:val="005D7D3B"/>
    <w:rsid w:val="005E1DBC"/>
    <w:rsid w:val="005F602A"/>
    <w:rsid w:val="005F7078"/>
    <w:rsid w:val="0060391A"/>
    <w:rsid w:val="00603C22"/>
    <w:rsid w:val="006049B6"/>
    <w:rsid w:val="00604B98"/>
    <w:rsid w:val="0061475F"/>
    <w:rsid w:val="006227C3"/>
    <w:rsid w:val="00630490"/>
    <w:rsid w:val="00634E88"/>
    <w:rsid w:val="006621E3"/>
    <w:rsid w:val="00665E84"/>
    <w:rsid w:val="006A34EF"/>
    <w:rsid w:val="006A5DBF"/>
    <w:rsid w:val="006B00AA"/>
    <w:rsid w:val="006B2E5B"/>
    <w:rsid w:val="006D5D9E"/>
    <w:rsid w:val="006D6FF8"/>
    <w:rsid w:val="006E5333"/>
    <w:rsid w:val="006F2DAC"/>
    <w:rsid w:val="006F44CB"/>
    <w:rsid w:val="006F6D70"/>
    <w:rsid w:val="007027EF"/>
    <w:rsid w:val="00704FE1"/>
    <w:rsid w:val="007238CC"/>
    <w:rsid w:val="00730FBB"/>
    <w:rsid w:val="0073245C"/>
    <w:rsid w:val="00733B21"/>
    <w:rsid w:val="007517C7"/>
    <w:rsid w:val="00766301"/>
    <w:rsid w:val="00766B20"/>
    <w:rsid w:val="0077181E"/>
    <w:rsid w:val="0079095F"/>
    <w:rsid w:val="007925F6"/>
    <w:rsid w:val="007951A5"/>
    <w:rsid w:val="007B1354"/>
    <w:rsid w:val="007B7EE4"/>
    <w:rsid w:val="007C1A93"/>
    <w:rsid w:val="007C2573"/>
    <w:rsid w:val="007D1D03"/>
    <w:rsid w:val="007D7338"/>
    <w:rsid w:val="007E0D37"/>
    <w:rsid w:val="00816706"/>
    <w:rsid w:val="00822F92"/>
    <w:rsid w:val="00826A21"/>
    <w:rsid w:val="00836402"/>
    <w:rsid w:val="00836C1D"/>
    <w:rsid w:val="00860AF3"/>
    <w:rsid w:val="008627BD"/>
    <w:rsid w:val="00862E3F"/>
    <w:rsid w:val="0086466E"/>
    <w:rsid w:val="00864CB7"/>
    <w:rsid w:val="00871F36"/>
    <w:rsid w:val="00873976"/>
    <w:rsid w:val="008828A7"/>
    <w:rsid w:val="00883EA6"/>
    <w:rsid w:val="008A010A"/>
    <w:rsid w:val="008A5DFC"/>
    <w:rsid w:val="008B13AF"/>
    <w:rsid w:val="008B3316"/>
    <w:rsid w:val="008C39B6"/>
    <w:rsid w:val="008C5026"/>
    <w:rsid w:val="008D0FB6"/>
    <w:rsid w:val="008D575A"/>
    <w:rsid w:val="008E5F6F"/>
    <w:rsid w:val="008F43BC"/>
    <w:rsid w:val="009020B0"/>
    <w:rsid w:val="00921D76"/>
    <w:rsid w:val="00923060"/>
    <w:rsid w:val="00923FD7"/>
    <w:rsid w:val="00945142"/>
    <w:rsid w:val="009502BA"/>
    <w:rsid w:val="00951C6A"/>
    <w:rsid w:val="00957997"/>
    <w:rsid w:val="00966AEC"/>
    <w:rsid w:val="009755E1"/>
    <w:rsid w:val="00976BA2"/>
    <w:rsid w:val="00981FD9"/>
    <w:rsid w:val="00994C87"/>
    <w:rsid w:val="009A35A3"/>
    <w:rsid w:val="009D038A"/>
    <w:rsid w:val="009E00E8"/>
    <w:rsid w:val="009F7114"/>
    <w:rsid w:val="00A214B3"/>
    <w:rsid w:val="00A25AC1"/>
    <w:rsid w:val="00A268AC"/>
    <w:rsid w:val="00A27C23"/>
    <w:rsid w:val="00A458BE"/>
    <w:rsid w:val="00A56F86"/>
    <w:rsid w:val="00A62C86"/>
    <w:rsid w:val="00A70C3F"/>
    <w:rsid w:val="00A728DD"/>
    <w:rsid w:val="00A758DA"/>
    <w:rsid w:val="00A9540C"/>
    <w:rsid w:val="00A95A30"/>
    <w:rsid w:val="00AB55F9"/>
    <w:rsid w:val="00AC2D51"/>
    <w:rsid w:val="00AD6360"/>
    <w:rsid w:val="00AF0BEE"/>
    <w:rsid w:val="00B14FF8"/>
    <w:rsid w:val="00B23F33"/>
    <w:rsid w:val="00B24A99"/>
    <w:rsid w:val="00B26D13"/>
    <w:rsid w:val="00B35A99"/>
    <w:rsid w:val="00B474BA"/>
    <w:rsid w:val="00B57755"/>
    <w:rsid w:val="00B72D86"/>
    <w:rsid w:val="00B7785D"/>
    <w:rsid w:val="00B81B7E"/>
    <w:rsid w:val="00BB6118"/>
    <w:rsid w:val="00BC4E4E"/>
    <w:rsid w:val="00BD086B"/>
    <w:rsid w:val="00C023C5"/>
    <w:rsid w:val="00C05063"/>
    <w:rsid w:val="00C24835"/>
    <w:rsid w:val="00C44805"/>
    <w:rsid w:val="00C64F49"/>
    <w:rsid w:val="00C91738"/>
    <w:rsid w:val="00C9259B"/>
    <w:rsid w:val="00CA789D"/>
    <w:rsid w:val="00CB4C1F"/>
    <w:rsid w:val="00CC2B4F"/>
    <w:rsid w:val="00CC342D"/>
    <w:rsid w:val="00CC5D05"/>
    <w:rsid w:val="00CD0F03"/>
    <w:rsid w:val="00CD25D7"/>
    <w:rsid w:val="00CD26D3"/>
    <w:rsid w:val="00CE000F"/>
    <w:rsid w:val="00CF0DB0"/>
    <w:rsid w:val="00D037EF"/>
    <w:rsid w:val="00D12ED1"/>
    <w:rsid w:val="00D237A0"/>
    <w:rsid w:val="00D304E7"/>
    <w:rsid w:val="00D50B29"/>
    <w:rsid w:val="00D51F51"/>
    <w:rsid w:val="00D54944"/>
    <w:rsid w:val="00D55E28"/>
    <w:rsid w:val="00D579DB"/>
    <w:rsid w:val="00D647A8"/>
    <w:rsid w:val="00D65C8A"/>
    <w:rsid w:val="00D77E64"/>
    <w:rsid w:val="00D81F4F"/>
    <w:rsid w:val="00D84D3C"/>
    <w:rsid w:val="00D9126A"/>
    <w:rsid w:val="00DA1C19"/>
    <w:rsid w:val="00DC7860"/>
    <w:rsid w:val="00DF4B8B"/>
    <w:rsid w:val="00E0379C"/>
    <w:rsid w:val="00E3427B"/>
    <w:rsid w:val="00E370EA"/>
    <w:rsid w:val="00E4049F"/>
    <w:rsid w:val="00E407EE"/>
    <w:rsid w:val="00E47C54"/>
    <w:rsid w:val="00E50427"/>
    <w:rsid w:val="00E51813"/>
    <w:rsid w:val="00E62D86"/>
    <w:rsid w:val="00E640CC"/>
    <w:rsid w:val="00E90E8B"/>
    <w:rsid w:val="00EA3575"/>
    <w:rsid w:val="00EB2B2E"/>
    <w:rsid w:val="00EC71D7"/>
    <w:rsid w:val="00F1060F"/>
    <w:rsid w:val="00F2546F"/>
    <w:rsid w:val="00F31132"/>
    <w:rsid w:val="00F5103E"/>
    <w:rsid w:val="00F53880"/>
    <w:rsid w:val="00F83106"/>
    <w:rsid w:val="00F854FD"/>
    <w:rsid w:val="00F876F9"/>
    <w:rsid w:val="00F95B49"/>
    <w:rsid w:val="00FA3156"/>
    <w:rsid w:val="00FB555C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C4113"/>
  <w15:docId w15:val="{10914443-312F-4A08-AE34-83EC9114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C1F"/>
    <w:rPr>
      <w:sz w:val="24"/>
      <w:szCs w:val="24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816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706"/>
    <w:rPr>
      <w:sz w:val="24"/>
      <w:szCs w:val="24"/>
    </w:rPr>
  </w:style>
  <w:style w:type="paragraph" w:styleId="Rodap">
    <w:name w:val="footer"/>
    <w:basedOn w:val="Normal"/>
    <w:link w:val="RodapChar"/>
    <w:rsid w:val="00816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6706"/>
    <w:rPr>
      <w:sz w:val="24"/>
      <w:szCs w:val="24"/>
    </w:rPr>
  </w:style>
  <w:style w:type="paragraph" w:styleId="Textodebalo">
    <w:name w:val="Balloon Text"/>
    <w:basedOn w:val="Normal"/>
    <w:link w:val="TextodebaloChar"/>
    <w:rsid w:val="00444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47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871F3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71F36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238C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2019-12-04T12:37:00Z</cp:lastPrinted>
  <dcterms:created xsi:type="dcterms:W3CDTF">2020-03-17T14:09:00Z</dcterms:created>
  <dcterms:modified xsi:type="dcterms:W3CDTF">2020-03-17T14:09:00Z</dcterms:modified>
</cp:coreProperties>
</file>