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E4A56">
        <w:rPr>
          <w:rFonts w:ascii="Times New Roman" w:hAnsi="Times New Roman"/>
          <w:szCs w:val="24"/>
        </w:rPr>
        <w:t>2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EC7B52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C7B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DISPÕE SOBRE A ROTULAGEM OBRIGATÓRIA DOS PRODUTOS DE ORIGEM ANIMAL PRODUZIDOS E COMERCIALIZADOS NO ESTADO </w:t>
      </w:r>
      <w:r w:rsidR="000716F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 MARANHÃO</w:t>
      </w:r>
      <w:r w:rsidRPr="00EC7B5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COM O INTUITO DE DAR CLAREZA AOS CONSUMIDORES SOBRE AS PRÁTICAS DA CADEIA PRODUTIVA COM O BEM-ESTAR ANIMAL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B03E6E" w:rsidRPr="000716F9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="000716F9" w:rsidRPr="000716F9">
        <w:rPr>
          <w:rFonts w:ascii="Times New Roman" w:hAnsi="Times New Roman"/>
        </w:rPr>
        <w:t xml:space="preserve">É obrigatória a rotulagem de produtos de origem animal, produzidos e/ou comercializados no Estado </w:t>
      </w:r>
      <w:r w:rsidR="00A80872">
        <w:rPr>
          <w:rFonts w:ascii="Times New Roman" w:hAnsi="Times New Roman"/>
        </w:rPr>
        <w:t>do Maranhão</w:t>
      </w:r>
      <w:r w:rsidR="000716F9" w:rsidRPr="000716F9">
        <w:rPr>
          <w:rFonts w:ascii="Times New Roman" w:hAnsi="Times New Roman"/>
        </w:rPr>
        <w:t>, com identificação de práticas específicas, visando a transparência da cadeia produtiva sobre as condições de bem-estar dos animais e o respeito ao direito do consumidor de conhecer as etapas de produção dos produtos que consome</w:t>
      </w:r>
      <w:r w:rsidRPr="00202205">
        <w:rPr>
          <w:rFonts w:ascii="Times New Roman" w:hAnsi="Times New Roman"/>
        </w:rPr>
        <w:t>.</w:t>
      </w:r>
    </w:p>
    <w:p w:rsidR="000716F9" w:rsidRPr="000716F9" w:rsidRDefault="000716F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A rotulagem deve informar ao consumidor:</w:t>
      </w:r>
    </w:p>
    <w:p w:rsidR="000716F9" w:rsidRDefault="000716F9" w:rsidP="000716F9">
      <w:pPr>
        <w:pStyle w:val="Corpo"/>
        <w:tabs>
          <w:tab w:val="left" w:pos="0"/>
        </w:tabs>
        <w:ind w:left="567"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 - </w:t>
      </w:r>
      <w:r w:rsidRPr="000716F9">
        <w:rPr>
          <w:rFonts w:ascii="Times New Roman" w:hAnsi="Times New Roman"/>
        </w:rPr>
        <w:t>Se as empresas que produzem e vendem produtos de origem animal adotam práticas de transparência na cadeia de fornecedores que permitam o videomonitoramento e a inspeção não anunciada por profissionais externos e/ou por organizações de proteção dos direitos dos animais legalmente qualificadas como tal, pelo menos uma vez por ano, nas instalações nas quais os animais são alojados, no processo de produção e no abate</w:t>
      </w:r>
      <w:r>
        <w:rPr>
          <w:rFonts w:ascii="Times New Roman" w:hAnsi="Times New Roman"/>
        </w:rPr>
        <w:t>;</w:t>
      </w:r>
    </w:p>
    <w:p w:rsidR="000716F9" w:rsidRDefault="000716F9" w:rsidP="000716F9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>II –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Se no processo de produção são praticados, ainda que de forma temporária:</w:t>
      </w:r>
    </w:p>
    <w:p w:rsidR="000716F9" w:rsidRPr="000716F9" w:rsidRDefault="000716F9" w:rsidP="000716F9">
      <w:pPr>
        <w:pStyle w:val="Corpo"/>
        <w:numPr>
          <w:ilvl w:val="0"/>
          <w:numId w:val="9"/>
        </w:num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o confinamento extremo de animais;</w:t>
      </w:r>
    </w:p>
    <w:p w:rsidR="000716F9" w:rsidRPr="000716F9" w:rsidRDefault="000716F9" w:rsidP="000716F9">
      <w:pPr>
        <w:pStyle w:val="Corpo"/>
        <w:numPr>
          <w:ilvl w:val="0"/>
          <w:numId w:val="9"/>
        </w:num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o descarte de animais recém-nascidos;</w:t>
      </w:r>
    </w:p>
    <w:p w:rsidR="000716F9" w:rsidRPr="000716F9" w:rsidRDefault="000716F9" w:rsidP="000716F9">
      <w:pPr>
        <w:pStyle w:val="Corpo"/>
        <w:numPr>
          <w:ilvl w:val="0"/>
          <w:numId w:val="9"/>
        </w:num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a alteração severa da quantidade de alimento fornecido;</w:t>
      </w:r>
    </w:p>
    <w:p w:rsidR="000716F9" w:rsidRPr="000716F9" w:rsidRDefault="000716F9" w:rsidP="000716F9">
      <w:pPr>
        <w:pStyle w:val="Corpo"/>
        <w:numPr>
          <w:ilvl w:val="0"/>
          <w:numId w:val="9"/>
        </w:num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mutilações e abate sem controle da dor;</w:t>
      </w:r>
    </w:p>
    <w:p w:rsidR="000716F9" w:rsidRPr="000716F9" w:rsidRDefault="000716F9" w:rsidP="000716F9">
      <w:pPr>
        <w:pStyle w:val="Corpo"/>
        <w:numPr>
          <w:ilvl w:val="0"/>
          <w:numId w:val="9"/>
        </w:numPr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lastRenderedPageBreak/>
        <w:t>o transporte de longa duração.</w:t>
      </w:r>
    </w:p>
    <w:p w:rsidR="000716F9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716F9">
        <w:rPr>
          <w:rFonts w:ascii="Times New Roman" w:hAnsi="Times New Roman"/>
          <w:szCs w:val="24"/>
        </w:rPr>
        <w:t>Para os efeitos desta Lei, considera-se:</w:t>
      </w:r>
    </w:p>
    <w:p w:rsidR="000716F9" w:rsidRDefault="000716F9" w:rsidP="000716F9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 </w:t>
      </w:r>
      <w:r>
        <w:rPr>
          <w:rFonts w:ascii="Times New Roman" w:hAnsi="Times New Roman"/>
          <w:szCs w:val="24"/>
        </w:rPr>
        <w:t xml:space="preserve">- </w:t>
      </w:r>
      <w:r w:rsidRPr="000716F9">
        <w:rPr>
          <w:rFonts w:ascii="Times New Roman" w:hAnsi="Times New Roman"/>
          <w:szCs w:val="24"/>
        </w:rPr>
        <w:t xml:space="preserve">Confinamento extremo: manter animais vivos, incluindo reprodutores, em gaiolas, jaulas ou amarrados, tais como, mas não limitado a gaiolas de bateria, de gestação e </w:t>
      </w:r>
      <w:r>
        <w:rPr>
          <w:rFonts w:ascii="Times New Roman" w:hAnsi="Times New Roman"/>
          <w:szCs w:val="24"/>
        </w:rPr>
        <w:t>d</w:t>
      </w:r>
      <w:r w:rsidRPr="000716F9">
        <w:rPr>
          <w:rFonts w:ascii="Times New Roman" w:hAnsi="Times New Roman"/>
          <w:szCs w:val="24"/>
        </w:rPr>
        <w:t>e parição/amamentação.</w:t>
      </w:r>
    </w:p>
    <w:p w:rsidR="000716F9" w:rsidRDefault="000716F9" w:rsidP="000716F9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II</w:t>
      </w:r>
      <w:r>
        <w:rPr>
          <w:rFonts w:ascii="Times New Roman" w:hAnsi="Times New Roman"/>
          <w:szCs w:val="24"/>
        </w:rPr>
        <w:t xml:space="preserve"> - </w:t>
      </w:r>
      <w:r w:rsidRPr="000716F9">
        <w:rPr>
          <w:rFonts w:ascii="Times New Roman" w:hAnsi="Times New Roman"/>
          <w:szCs w:val="24"/>
        </w:rPr>
        <w:t>Descarte de animais recém-nascidos: prática a que são submetidos os animais recém-nascidos considerados sem valor econômico, mesmo que tenham nascido saudáveis e inclui, mas não se limita a, o abate de bezerros machos na cadeia produtora de leite e o abate de pintos machos na cadeia produtora de ovos.</w:t>
      </w:r>
    </w:p>
    <w:p w:rsidR="000716F9" w:rsidRDefault="000716F9" w:rsidP="000716F9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III </w:t>
      </w:r>
      <w:r w:rsidRPr="000716F9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</w:t>
      </w:r>
      <w:r w:rsidRPr="000716F9">
        <w:rPr>
          <w:rFonts w:ascii="Times New Roman" w:hAnsi="Times New Roman"/>
          <w:szCs w:val="24"/>
        </w:rPr>
        <w:t>Alteração severa da quantidade de alimento fornecido: práticas de alimentação que envolvam a privação compulsória de alimentos (jejum) por mais de 48 (quarenta e oito) horas, ou a redução da quantidade de alimento, em percentual igual ou inferior a 50% (cinquenta por cento) do consumo adequado para a raça/linhagem e faixa etária, ou, ainda, a alimentação forcada, superior ao consumo espontâneo.</w:t>
      </w:r>
      <w:r w:rsidRPr="000716F9">
        <w:rPr>
          <w:rFonts w:ascii="Times New Roman" w:hAnsi="Times New Roman"/>
          <w:szCs w:val="24"/>
        </w:rPr>
        <w:cr/>
      </w:r>
      <w:r>
        <w:rPr>
          <w:rFonts w:ascii="Times New Roman" w:hAnsi="Times New Roman"/>
          <w:b/>
          <w:bCs/>
          <w:szCs w:val="24"/>
        </w:rPr>
        <w:t xml:space="preserve">IV </w:t>
      </w:r>
      <w:r>
        <w:rPr>
          <w:rFonts w:ascii="Times New Roman" w:hAnsi="Times New Roman"/>
          <w:szCs w:val="24"/>
        </w:rPr>
        <w:t xml:space="preserve">- </w:t>
      </w:r>
      <w:r w:rsidRPr="000716F9">
        <w:rPr>
          <w:rFonts w:ascii="Times New Roman" w:hAnsi="Times New Roman"/>
          <w:szCs w:val="24"/>
        </w:rPr>
        <w:t>Mutilações sem controle de dor: inclui todo e qualquer procedimento que remova partes do corpo dos animais sem o uso efetivo de analgésicos e anestésicos, incluindo, mas não limitado a, corte de cauda, debicagem, corte/desgaste de dentes, corte de orelhas, remoção de esporas, extração de unhas, remoção dos testículos e descorna.</w:t>
      </w:r>
    </w:p>
    <w:p w:rsidR="000716F9" w:rsidRPr="000716F9" w:rsidRDefault="000716F9" w:rsidP="000716F9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V</w:t>
      </w:r>
      <w:r>
        <w:rPr>
          <w:rFonts w:ascii="Times New Roman" w:hAnsi="Times New Roman"/>
          <w:szCs w:val="24"/>
        </w:rPr>
        <w:t xml:space="preserve"> - </w:t>
      </w:r>
      <w:r w:rsidRPr="000716F9">
        <w:rPr>
          <w:rFonts w:ascii="Times New Roman" w:hAnsi="Times New Roman"/>
          <w:szCs w:val="24"/>
        </w:rPr>
        <w:t>Transporte de longa duração: operação de transporte de um ‘local de partida’ para um ‘local de destino’, incluindo o carregamento no local de partida, qualquer transferência durante a viagem, qualquer descarga, repouso e carregamento que ocorram em pontos intermédios, até que todos os animais sejam descarregados no destino final, em jornadas superiores a 12 (doze) horas.</w:t>
      </w:r>
    </w:p>
    <w:p w:rsidR="000716F9" w:rsidRDefault="000716F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0716F9">
        <w:rPr>
          <w:rFonts w:ascii="Times New Roman" w:hAnsi="Times New Roman"/>
          <w:szCs w:val="24"/>
        </w:rPr>
        <w:t>As empresas que descumprirem esta lei ficarão obrigadas ao pagamento de multa, na seguinte conformidade:</w:t>
      </w:r>
    </w:p>
    <w:p w:rsidR="00994683" w:rsidRDefault="00994683" w:rsidP="00994683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 – </w:t>
      </w:r>
      <w:r>
        <w:rPr>
          <w:rFonts w:ascii="Times New Roman" w:hAnsi="Times New Roman"/>
          <w:szCs w:val="24"/>
        </w:rPr>
        <w:t xml:space="preserve">Microempresa (ME): multa de </w:t>
      </w:r>
      <w:r w:rsidR="00A80872">
        <w:rPr>
          <w:rFonts w:ascii="Times New Roman" w:hAnsi="Times New Roman"/>
          <w:szCs w:val="24"/>
        </w:rPr>
        <w:t xml:space="preserve">R$ </w:t>
      </w:r>
      <w:bookmarkStart w:id="0" w:name="_GoBack"/>
      <w:bookmarkEnd w:id="0"/>
      <w:r>
        <w:rPr>
          <w:rFonts w:ascii="Times New Roman" w:hAnsi="Times New Roman"/>
          <w:szCs w:val="24"/>
        </w:rPr>
        <w:t>100 (cem) reais por infração;</w:t>
      </w:r>
    </w:p>
    <w:p w:rsidR="00994683" w:rsidRDefault="00994683" w:rsidP="00994683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II</w:t>
      </w:r>
      <w:r>
        <w:rPr>
          <w:rFonts w:ascii="Times New Roman" w:hAnsi="Times New Roman"/>
          <w:szCs w:val="24"/>
        </w:rPr>
        <w:t xml:space="preserve"> – Empresa de Pequeno Porte (EPP): multa de </w:t>
      </w:r>
      <w:r w:rsidR="00A80872">
        <w:rPr>
          <w:rFonts w:ascii="Times New Roman" w:hAnsi="Times New Roman"/>
          <w:szCs w:val="24"/>
        </w:rPr>
        <w:t xml:space="preserve">R$ </w:t>
      </w:r>
      <w:r>
        <w:rPr>
          <w:rFonts w:ascii="Times New Roman" w:hAnsi="Times New Roman"/>
          <w:szCs w:val="24"/>
        </w:rPr>
        <w:t>1.000 (mil) reais por infração;</w:t>
      </w:r>
    </w:p>
    <w:p w:rsidR="00994683" w:rsidRDefault="00994683" w:rsidP="00994683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III </w:t>
      </w:r>
      <w:r>
        <w:rPr>
          <w:rFonts w:ascii="Times New Roman" w:hAnsi="Times New Roman"/>
          <w:szCs w:val="24"/>
        </w:rPr>
        <w:t xml:space="preserve">– Empresa de Médio Porte: multa de </w:t>
      </w:r>
      <w:r w:rsidR="00A80872">
        <w:rPr>
          <w:rFonts w:ascii="Times New Roman" w:hAnsi="Times New Roman"/>
          <w:szCs w:val="24"/>
        </w:rPr>
        <w:t xml:space="preserve">R$ </w:t>
      </w:r>
      <w:r>
        <w:rPr>
          <w:rFonts w:ascii="Times New Roman" w:hAnsi="Times New Roman"/>
          <w:szCs w:val="24"/>
        </w:rPr>
        <w:t>5.000 (cinco mil) reais por infração;</w:t>
      </w:r>
    </w:p>
    <w:p w:rsidR="00994683" w:rsidRDefault="00994683" w:rsidP="00994683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IV </w:t>
      </w:r>
      <w:r>
        <w:rPr>
          <w:rFonts w:ascii="Times New Roman" w:hAnsi="Times New Roman"/>
          <w:szCs w:val="24"/>
        </w:rPr>
        <w:t xml:space="preserve">– Grande Empresa: multa de </w:t>
      </w:r>
      <w:r w:rsidR="00A80872">
        <w:rPr>
          <w:rFonts w:ascii="Times New Roman" w:hAnsi="Times New Roman"/>
          <w:szCs w:val="24"/>
        </w:rPr>
        <w:t xml:space="preserve">R$ </w:t>
      </w:r>
      <w:r>
        <w:rPr>
          <w:rFonts w:ascii="Times New Roman" w:hAnsi="Times New Roman"/>
          <w:szCs w:val="24"/>
        </w:rPr>
        <w:t xml:space="preserve">10.000 </w:t>
      </w:r>
      <w:r w:rsidR="00A80872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dez mil</w:t>
      </w:r>
      <w:r w:rsidR="00A80872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reais por infração</w:t>
      </w:r>
    </w:p>
    <w:p w:rsidR="00994683" w:rsidRPr="00994683" w:rsidRDefault="00994683" w:rsidP="00994683">
      <w:pPr>
        <w:pStyle w:val="Corp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Parágrafo único</w:t>
      </w:r>
      <w:r w:rsidRPr="00994683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Havendo </w:t>
      </w:r>
      <w:r w:rsidRPr="00994683">
        <w:rPr>
          <w:rFonts w:ascii="Times New Roman" w:hAnsi="Times New Roman"/>
          <w:szCs w:val="24"/>
        </w:rPr>
        <w:t>reincidência, a empresa terá o alvará de funcionamento suspenso por prazo indeterminado, até incorporar a rotulagem em todos os produtos de sua operação, sem prejuízo das multas aplicáveis.</w:t>
      </w:r>
    </w:p>
    <w:p w:rsidR="00994683" w:rsidRDefault="00994683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994683">
        <w:rPr>
          <w:rFonts w:ascii="Times New Roman" w:hAnsi="Times New Roman"/>
          <w:szCs w:val="24"/>
        </w:rPr>
        <w:t>As receitas oriundas do valor das multas serão repassadas à FAPE</w:t>
      </w:r>
      <w:r>
        <w:rPr>
          <w:rFonts w:ascii="Times New Roman" w:hAnsi="Times New Roman"/>
          <w:szCs w:val="24"/>
        </w:rPr>
        <w:t>MA</w:t>
      </w:r>
      <w:r w:rsidRPr="00994683">
        <w:rPr>
          <w:rFonts w:ascii="Times New Roman" w:hAnsi="Times New Roman"/>
          <w:szCs w:val="24"/>
        </w:rPr>
        <w:t xml:space="preserve"> com a destinação de apoiar pesquisas e programas de bem-estar animal de animais de consumo ou a entidades de defesa dos direitos dos animais por meio de fundo específico</w:t>
      </w:r>
      <w:r>
        <w:rPr>
          <w:rFonts w:ascii="Times New Roman" w:hAnsi="Times New Roman"/>
          <w:szCs w:val="24"/>
        </w:rPr>
        <w:t>.</w:t>
      </w:r>
    </w:p>
    <w:p w:rsidR="00994683" w:rsidRDefault="00994683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994683">
        <w:rPr>
          <w:rFonts w:ascii="Times New Roman" w:hAnsi="Times New Roman"/>
          <w:szCs w:val="24"/>
        </w:rPr>
        <w:t>As empresas produtoras e processadoras de alimentos terão um prazo de 02 (dois) anos para se adequarem à legislação.</w:t>
      </w:r>
    </w:p>
    <w:p w:rsidR="00994683" w:rsidRDefault="00994683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994683">
        <w:rPr>
          <w:rFonts w:ascii="Times New Roman" w:hAnsi="Times New Roman"/>
          <w:szCs w:val="24"/>
        </w:rPr>
        <w:t xml:space="preserve"> Na hipótese de serem fixados parâmetros técnicos para o Estado d</w:t>
      </w:r>
      <w:r>
        <w:rPr>
          <w:rFonts w:ascii="Times New Roman" w:hAnsi="Times New Roman"/>
          <w:szCs w:val="24"/>
        </w:rPr>
        <w:t>o Maranhão</w:t>
      </w:r>
      <w:r w:rsidRPr="00994683">
        <w:rPr>
          <w:rFonts w:ascii="Times New Roman" w:hAnsi="Times New Roman"/>
          <w:szCs w:val="24"/>
        </w:rPr>
        <w:t>, as definições dispostas no artigo 4º desta lei deverão ser atualizadas.</w:t>
      </w:r>
    </w:p>
    <w:p w:rsidR="00202205" w:rsidRPr="00B03E6E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Lei entra em vigor na data de sua publicação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994683" w:rsidRPr="00D13618" w:rsidRDefault="00994683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994683" w:rsidRDefault="00994683" w:rsidP="0099468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94683">
        <w:rPr>
          <w:rFonts w:ascii="Times New Roman" w:eastAsia="Calibri" w:hAnsi="Times New Roman" w:cs="Times New Roman"/>
          <w:sz w:val="24"/>
          <w:szCs w:val="24"/>
        </w:rPr>
        <w:t>A Lei 8.078, de 11 de setembro de 1990 estabelece o Código de Defesa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Consumidor e garante a este o direito de obter todas as informações sobre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procedência e características dos alimentos e produtos que consome e sobre a forma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como são produzidos.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683" w:rsidRPr="00994683" w:rsidRDefault="00994683" w:rsidP="0099468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94683">
        <w:rPr>
          <w:rFonts w:ascii="Times New Roman" w:eastAsia="Calibri" w:hAnsi="Times New Roman" w:cs="Times New Roman"/>
          <w:sz w:val="24"/>
          <w:szCs w:val="24"/>
        </w:rPr>
        <w:t>No entanto, vários aspectos da produção de alimentos de origem animal de crucial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importância para os princípios éticos dos consumidores não estão acessíveis a esses.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presente projeto de lei visa a introdução de mecanismos de transparência 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possibilitem o acesso à informação sobre práticas de produção de alimentos e outros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produtos de origem animal que, conforme já amplamente demonstrado e comprovado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cientificamente, promovem dor e intenso sofrimento a esses seres, mas que são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desconhecidas dos consumidores.</w:t>
      </w:r>
    </w:p>
    <w:p w:rsidR="00994683" w:rsidRPr="00994683" w:rsidRDefault="00994683" w:rsidP="0099468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94683">
        <w:rPr>
          <w:rFonts w:ascii="Times New Roman" w:eastAsia="Calibri" w:hAnsi="Times New Roman" w:cs="Times New Roman"/>
          <w:sz w:val="24"/>
          <w:szCs w:val="24"/>
        </w:rPr>
        <w:t>Uma pesquisa realizada pela Universidade Federal de Santa Maria no Rio Grande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do Sul</w:t>
      </w:r>
      <w:r w:rsidR="00ED3986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1"/>
      </w:r>
      <w:r w:rsidRPr="00994683">
        <w:rPr>
          <w:rFonts w:ascii="Times New Roman" w:eastAsia="Calibri" w:hAnsi="Times New Roman" w:cs="Times New Roman"/>
          <w:sz w:val="24"/>
          <w:szCs w:val="24"/>
        </w:rPr>
        <w:t>, com o objetivo de entender a percepção dos consumidores sobre o bem-estar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animal e a influência nas decisões de consumo, revelou que 87% dos entrevistados têm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dificuldades de conectar o alimento que consomem ao animal vivo e 76% 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entrevistados afirmaram possuir pouca familiaridade com o processo de criação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animais para corte e consumo. No entanto, 97% dos entrevistados reconheceram 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os animais são seres capazes de sentir dor, medo e estresse; quase 90% acreditam 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métodos de criação, transporte e abate podem causar sofrimento e 70% 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entrevistados afirmaram ser importante, na decisão de compra de carne, um selo 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garanta que o animal não sofreu com práticas cruéis.</w:t>
      </w:r>
    </w:p>
    <w:p w:rsidR="00994683" w:rsidRDefault="00994683" w:rsidP="0099468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94683">
        <w:rPr>
          <w:rFonts w:ascii="Times New Roman" w:eastAsia="Calibri" w:hAnsi="Times New Roman" w:cs="Times New Roman"/>
          <w:sz w:val="24"/>
          <w:szCs w:val="24"/>
        </w:rPr>
        <w:t>Contudo, diversas são as práticas amplamente reconhecidas como cruéis, as quais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ainda são mantidas longe do conhecimento do consumidor pela indústria, cabendo,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 xml:space="preserve">portanto, ao Poder Público garantir aos consumidores o acesso a essa </w:t>
      </w:r>
      <w:r w:rsidRPr="00994683">
        <w:rPr>
          <w:rFonts w:ascii="Times New Roman" w:eastAsia="Calibri" w:hAnsi="Times New Roman" w:cs="Times New Roman"/>
          <w:sz w:val="24"/>
          <w:szCs w:val="24"/>
        </w:rPr>
        <w:lastRenderedPageBreak/>
        <w:t>informação.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Portanto, este projeto de lei propõe a obrigatoriedade de informações mínimas sobre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sistema de produção animal para que o consumidor possa avaliar se as condições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criação e abate desses animais são compatíveis com seus princípios religiosos e/ou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éticos.</w:t>
      </w:r>
    </w:p>
    <w:p w:rsidR="00994683" w:rsidRPr="00994683" w:rsidRDefault="00994683" w:rsidP="0099468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94683">
        <w:rPr>
          <w:rFonts w:ascii="Times New Roman" w:eastAsia="Calibri" w:hAnsi="Times New Roman" w:cs="Times New Roman"/>
          <w:sz w:val="24"/>
          <w:szCs w:val="24"/>
        </w:rPr>
        <w:t>Na indústria da carne de suínos, as porcas reprodutoras costumam ser mantidas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durante a maior parte da sua vida adulta em gaiolas de gestação e gaiolas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parição/amamentação, que lhes permite apenas movimentos muito restritos, como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levantar e deitar. Os filhotes, por sua vez, são submetidos a várias mutilações sem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analgésicos e anestésicos, tais como a a amputação das caudas, corte dos dentes e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forem machos, remoção dos testículos.</w:t>
      </w:r>
    </w:p>
    <w:p w:rsidR="00994683" w:rsidRPr="00994683" w:rsidRDefault="00994683" w:rsidP="0099468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94683">
        <w:rPr>
          <w:rFonts w:ascii="Times New Roman" w:eastAsia="Calibri" w:hAnsi="Times New Roman" w:cs="Times New Roman"/>
          <w:sz w:val="24"/>
          <w:szCs w:val="24"/>
        </w:rPr>
        <w:t>Na indústria de ovos também são comuns práticas extremamente dolorosas tais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como o corte do bico (debicagem), a trituração de pintinhos machos com 1 dia de vida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e a muda forçada, na qual galinhas cujo ciclo produtivo está se encerrando são mantidas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por até 14 dias sem nenhum alimento e até dois dias sem água, para estimular assim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uma retomada forçosa do ciclo de produção de ovos. Na indústria de carne de frango,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os animais comumente sofrem com dores crônicas devido ao colapso respiratório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muscular pelo crescimento exagerado, somados aos problemas decorrentes da alta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concentração de excrementos, como alta prevalência de feridas de contato na pele e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afecções respiratórias devido às altas concentrações de amônia.</w:t>
      </w:r>
    </w:p>
    <w:p w:rsidR="00994683" w:rsidRPr="00994683" w:rsidRDefault="00994683" w:rsidP="0099468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94683">
        <w:rPr>
          <w:rFonts w:ascii="Times New Roman" w:eastAsia="Calibri" w:hAnsi="Times New Roman" w:cs="Times New Roman"/>
          <w:sz w:val="24"/>
          <w:szCs w:val="24"/>
        </w:rPr>
        <w:t>Além de estar fundamentado na Lei 8.078/1990 e no artigo 5º, XXXII,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Constituição Federal, que garante a proteção dos consumidores, este projeto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fundamenta no artigo 225 da Carta Magna, que incumbe ao poder público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responsabilidade de "proteger a fauna e a flora, vedadas, na forma da lei, as práticas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que coloquem em risco sua função ecológica, provoquem a extinção de espécies ou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submetam os animais a crueldade", e na Lei Federal nº 9.605, de 1998 (Lei de Crimes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Ambientais), que define como crime "praticar ato de abuso, maus-tratos, ferir ou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mutilar animais silvestres, domésticos ou domesticados, nativos ou exóticos".</w:t>
      </w:r>
    </w:p>
    <w:p w:rsidR="00994683" w:rsidRPr="008F542B" w:rsidRDefault="00994683" w:rsidP="00994683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94683">
        <w:rPr>
          <w:rFonts w:ascii="Times New Roman" w:eastAsia="Calibri" w:hAnsi="Times New Roman" w:cs="Times New Roman"/>
          <w:sz w:val="24"/>
          <w:szCs w:val="24"/>
        </w:rPr>
        <w:lastRenderedPageBreak/>
        <w:t>Em face do exposto, pedimos aos legisladores a aprovação deste projeto de lei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para que sejam garantidos os direitos dos animais, o direito dos consumidores e para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683">
        <w:rPr>
          <w:rFonts w:ascii="Times New Roman" w:eastAsia="Calibri" w:hAnsi="Times New Roman" w:cs="Times New Roman"/>
          <w:sz w:val="24"/>
          <w:szCs w:val="24"/>
        </w:rPr>
        <w:t>que o Estado atue como mediador das práticas econômicas que violam esses direitos.</w:t>
      </w:r>
    </w:p>
    <w:p w:rsidR="005315A5" w:rsidRPr="005315A5" w:rsidRDefault="00F07487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E16F8E" w:rsidRPr="005315A5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  <w:footnote w:id="1">
    <w:p w:rsidR="00ED3986" w:rsidRPr="00ED3986" w:rsidRDefault="00ED3986" w:rsidP="00ED3986">
      <w:pPr>
        <w:pStyle w:val="Textodenotaderodap"/>
        <w:jc w:val="both"/>
        <w:rPr>
          <w:rFonts w:ascii="Times New Roman" w:hAnsi="Times New Roman" w:cs="Times New Roman"/>
        </w:rPr>
      </w:pPr>
      <w:r w:rsidRPr="00ED3986">
        <w:rPr>
          <w:rStyle w:val="Refdenotaderodap"/>
          <w:rFonts w:ascii="Times New Roman" w:hAnsi="Times New Roman" w:cs="Times New Roman"/>
        </w:rPr>
        <w:footnoteRef/>
      </w:r>
      <w:r w:rsidRPr="00ED3986">
        <w:rPr>
          <w:rFonts w:ascii="Times New Roman" w:hAnsi="Times New Roman" w:cs="Times New Roman"/>
        </w:rPr>
        <w:t xml:space="preserve"> SOUZA, Maria et al. Consumo Consciente como Determinante da Sustentabilidade Empresarial: respeitar os animais pode ser um bom negócio? </w:t>
      </w:r>
      <w:r w:rsidRPr="00ED3986">
        <w:rPr>
          <w:rFonts w:ascii="Times New Roman" w:hAnsi="Times New Roman" w:cs="Times New Roman"/>
          <w:b/>
          <w:bCs/>
        </w:rPr>
        <w:t>Rev. Adm.</w:t>
      </w:r>
      <w:r w:rsidRPr="00ED3986">
        <w:rPr>
          <w:rFonts w:ascii="Times New Roman" w:hAnsi="Times New Roman" w:cs="Times New Roman"/>
        </w:rPr>
        <w:t xml:space="preserve"> UFSM, Santa Maria, v. 6, Edição Especial, p. 861-877, MAI. 2013. https://doi.org/10.5902/198346599022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D628B"/>
    <w:multiLevelType w:val="hybridMultilevel"/>
    <w:tmpl w:val="A97C8AA0"/>
    <w:lvl w:ilvl="0" w:tplc="E5E4037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161D"/>
    <w:rsid w:val="00033BCD"/>
    <w:rsid w:val="0003404B"/>
    <w:rsid w:val="000344A8"/>
    <w:rsid w:val="00043972"/>
    <w:rsid w:val="00066FBD"/>
    <w:rsid w:val="000716F9"/>
    <w:rsid w:val="000741E7"/>
    <w:rsid w:val="00083185"/>
    <w:rsid w:val="00085063"/>
    <w:rsid w:val="000943E3"/>
    <w:rsid w:val="000C7554"/>
    <w:rsid w:val="000D56A1"/>
    <w:rsid w:val="000E0BD4"/>
    <w:rsid w:val="000E65EB"/>
    <w:rsid w:val="00135BFA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94683"/>
    <w:rsid w:val="009A110A"/>
    <w:rsid w:val="009A35BB"/>
    <w:rsid w:val="009B2060"/>
    <w:rsid w:val="009C4C89"/>
    <w:rsid w:val="009D3148"/>
    <w:rsid w:val="00A00FC9"/>
    <w:rsid w:val="00A10AE1"/>
    <w:rsid w:val="00A2364E"/>
    <w:rsid w:val="00A24D52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0872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03E6E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7B52"/>
    <w:rsid w:val="00ED36CA"/>
    <w:rsid w:val="00ED3986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E53145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C139-A110-40EF-A0FA-EA736EEA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1324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5</cp:revision>
  <cp:lastPrinted>2020-06-08T20:50:00Z</cp:lastPrinted>
  <dcterms:created xsi:type="dcterms:W3CDTF">2022-11-28T12:14:00Z</dcterms:created>
  <dcterms:modified xsi:type="dcterms:W3CDTF">2022-11-28T12:47:00Z</dcterms:modified>
</cp:coreProperties>
</file>