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D158" w14:textId="77777777" w:rsidR="003673BF" w:rsidRPr="009639CD" w:rsidRDefault="003673BF" w:rsidP="003673BF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bookmarkStart w:id="0" w:name="_GoBack"/>
      <w:bookmarkEnd w:id="0"/>
      <w:r w:rsidRPr="009639CD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618606EA" w14:textId="31ACAFCB" w:rsidR="003673BF" w:rsidRPr="009639CD" w:rsidRDefault="003673BF" w:rsidP="003673BF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9639C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</w:t>
      </w:r>
      <w:r w:rsidR="00D9155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N</w:t>
      </w:r>
      <w:r w:rsidR="009C1291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º </w:t>
      </w:r>
      <w:r w:rsidR="00D9155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58</w:t>
      </w:r>
      <w:r w:rsidR="00064F2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</w:t>
      </w:r>
      <w:r w:rsidRPr="009639C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/2019</w:t>
      </w:r>
    </w:p>
    <w:p w14:paraId="64C20253" w14:textId="6EC9E44B" w:rsidR="003F41E3" w:rsidRPr="009639CD" w:rsidRDefault="003F41E3" w:rsidP="007432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639C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9639CD" w:rsidRPr="009639C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00412490" w14:textId="77777777" w:rsidR="00C43931" w:rsidRPr="009639CD" w:rsidRDefault="00C43931" w:rsidP="007432CC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45699" w14:textId="5366D4AA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  <w:i/>
        </w:rPr>
      </w:pPr>
      <w:r w:rsidRPr="005A27BF">
        <w:rPr>
          <w:rFonts w:ascii="Century Gothic" w:hAnsi="Century Gothic" w:cs="Times New Roman"/>
        </w:rPr>
        <w:t xml:space="preserve">Trata-se da </w:t>
      </w:r>
      <w:r w:rsidRPr="005A27BF">
        <w:rPr>
          <w:rFonts w:ascii="Century Gothic" w:hAnsi="Century Gothic" w:cs="Times New Roman"/>
          <w:color w:val="000000" w:themeColor="text1"/>
        </w:rPr>
        <w:t xml:space="preserve">análise da </w:t>
      </w:r>
      <w:r w:rsidRPr="005A27BF">
        <w:rPr>
          <w:rFonts w:ascii="Century Gothic" w:hAnsi="Century Gothic" w:cs="Times New Roman"/>
          <w:b/>
          <w:color w:val="000000" w:themeColor="text1"/>
        </w:rPr>
        <w:t xml:space="preserve">constitucionalidade, </w:t>
      </w:r>
      <w:proofErr w:type="spellStart"/>
      <w:r w:rsidRPr="005A27BF">
        <w:rPr>
          <w:rFonts w:ascii="Century Gothic" w:hAnsi="Century Gothic" w:cs="Times New Roman"/>
          <w:b/>
          <w:color w:val="000000" w:themeColor="text1"/>
        </w:rPr>
        <w:t>regimentalidade</w:t>
      </w:r>
      <w:proofErr w:type="spellEnd"/>
      <w:r w:rsidRPr="005A27BF">
        <w:rPr>
          <w:rFonts w:ascii="Century Gothic" w:hAnsi="Century Gothic" w:cs="Times New Roman"/>
          <w:b/>
          <w:color w:val="000000" w:themeColor="text1"/>
        </w:rPr>
        <w:t>, juridicidade e legalidade</w:t>
      </w:r>
      <w:r w:rsidRPr="005A27BF">
        <w:rPr>
          <w:rFonts w:ascii="Century Gothic" w:hAnsi="Century Gothic" w:cs="Times New Roman"/>
          <w:color w:val="000000" w:themeColor="text1"/>
        </w:rPr>
        <w:t xml:space="preserve"> do</w:t>
      </w:r>
      <w:r w:rsidRPr="005A27BF">
        <w:rPr>
          <w:rFonts w:ascii="Century Gothic" w:hAnsi="Century Gothic" w:cs="Times New Roman"/>
        </w:rPr>
        <w:t xml:space="preserve"> </w:t>
      </w:r>
      <w:r w:rsidRPr="005A27BF">
        <w:rPr>
          <w:rFonts w:ascii="Century Gothic" w:hAnsi="Century Gothic" w:cs="Times New Roman"/>
          <w:b/>
        </w:rPr>
        <w:t>Projeto de Lei n</w:t>
      </w:r>
      <w:r>
        <w:rPr>
          <w:rFonts w:ascii="Century Gothic" w:hAnsi="Century Gothic" w:cs="Times New Roman"/>
          <w:b/>
        </w:rPr>
        <w:t>º</w:t>
      </w:r>
      <w:r w:rsidRPr="005A27BF">
        <w:rPr>
          <w:rFonts w:ascii="Century Gothic" w:hAnsi="Century Gothic" w:cs="Times New Roman"/>
          <w:b/>
        </w:rPr>
        <w:t xml:space="preserve"> 366/2019</w:t>
      </w:r>
      <w:r>
        <w:rPr>
          <w:rFonts w:ascii="Century Gothic" w:hAnsi="Century Gothic" w:cs="Times New Roman"/>
          <w:b/>
        </w:rPr>
        <w:t>,</w:t>
      </w:r>
      <w:r w:rsidRPr="005A27BF">
        <w:rPr>
          <w:rFonts w:ascii="Century Gothic" w:hAnsi="Century Gothic" w:cs="Times New Roman"/>
          <w:b/>
        </w:rPr>
        <w:t xml:space="preserve"> de autoria do </w:t>
      </w:r>
      <w:r>
        <w:rPr>
          <w:rFonts w:ascii="Century Gothic" w:hAnsi="Century Gothic" w:cs="Times New Roman"/>
          <w:b/>
        </w:rPr>
        <w:t xml:space="preserve">Senhor </w:t>
      </w:r>
      <w:r w:rsidRPr="005A27BF">
        <w:rPr>
          <w:rFonts w:ascii="Century Gothic" w:hAnsi="Century Gothic" w:cs="Times New Roman"/>
          <w:b/>
        </w:rPr>
        <w:t>Deputado Adriano,</w:t>
      </w:r>
      <w:r w:rsidRPr="005A27BF">
        <w:rPr>
          <w:rFonts w:ascii="Century Gothic" w:hAnsi="Century Gothic" w:cs="Times New Roman"/>
        </w:rPr>
        <w:t xml:space="preserve"> </w:t>
      </w:r>
      <w:proofErr w:type="gramStart"/>
      <w:r w:rsidRPr="005A27BF">
        <w:rPr>
          <w:rFonts w:ascii="Century Gothic" w:hAnsi="Century Gothic" w:cs="Times New Roman"/>
        </w:rPr>
        <w:t xml:space="preserve">que </w:t>
      </w:r>
      <w:r>
        <w:rPr>
          <w:rFonts w:ascii="Century Gothic" w:hAnsi="Century Gothic" w:cs="Times New Roman"/>
        </w:rPr>
        <w:t>E</w:t>
      </w:r>
      <w:r w:rsidRPr="005A27BF">
        <w:rPr>
          <w:rFonts w:ascii="Century Gothic" w:hAnsi="Century Gothic" w:cs="Times New Roman"/>
        </w:rPr>
        <w:t>stabelece</w:t>
      </w:r>
      <w:proofErr w:type="gramEnd"/>
      <w:r w:rsidRPr="005A27BF">
        <w:rPr>
          <w:rFonts w:ascii="Century Gothic" w:hAnsi="Century Gothic" w:cs="Times New Roman"/>
        </w:rPr>
        <w:t xml:space="preserve"> a obrigatoriedade de disponibilização de oportunidade para apresentação de grupos, bandas, cantores ou instrumentistas locais em eventos musicais que contenham financiamento público estadual e das outras providências.</w:t>
      </w:r>
    </w:p>
    <w:p w14:paraId="6445CBB2" w14:textId="77777777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  <w:r w:rsidRPr="005A27BF">
        <w:rPr>
          <w:rFonts w:ascii="Century Gothic" w:hAnsi="Century Gothic" w:cs="Times New Roman"/>
        </w:rPr>
        <w:t>Em síntese, a empresa, associação, entidade, organizador de evento, ou similar, que receber subvenção social, ou financeira, ou auxílio financeiro, do Poder Público Estadual ou através dele, para realização de Shows, exposições, eventos artísticos, culturais, musicais, e similares, deverá obrigatoriamente destinar no mínimo 70% (setenta por cento), do valor do recurso público recebido, para contratação de artista local para apresentação e/ou exposição no mesmo evento.</w:t>
      </w:r>
    </w:p>
    <w:p w14:paraId="11D3C072" w14:textId="77777777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  <w:r w:rsidRPr="005A27BF">
        <w:rPr>
          <w:rFonts w:ascii="Century Gothic" w:hAnsi="Century Gothic" w:cs="Times New Roman"/>
        </w:rPr>
        <w:t>Sendo assim, o recurso público de que trata a proposição, apenas será liberado após efetiva comprovação, da realização de contrato prévio com artista local, devidamente legalizado, nos termos do caput deste artigo.</w:t>
      </w:r>
    </w:p>
    <w:p w14:paraId="75FFD57F" w14:textId="77777777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  <w:r w:rsidRPr="005A27BF">
        <w:rPr>
          <w:rFonts w:ascii="Century Gothic" w:hAnsi="Century Gothic" w:cs="Times New Roman"/>
        </w:rPr>
        <w:t>Outrossim, entende-se como artista local, para os fins deste projeto, os grupos, artistas, bandas, músicos e afins, sediados no Estado do Maranhão, independente da nacionalidade ou naturalidade dos artistas. </w:t>
      </w:r>
    </w:p>
    <w:p w14:paraId="72AE5734" w14:textId="77777777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  <w:r w:rsidRPr="005A27BF">
        <w:rPr>
          <w:rFonts w:ascii="Century Gothic" w:hAnsi="Century Gothic" w:cs="Times New Roman"/>
        </w:rPr>
        <w:t>Por último, estabelece que caso não sejam cumpridas as exigências da presente na proposição por fraude, será o infrator impedido de receber novo recurso público, e havendo a participação de artista local, este não poderá ser contratado com utilização de recurso do Tesouro Estadual ou através dele, por 08 (oito) anos, a contar da data do fato, sem prejuízo das responsabilidades civil e criminal.</w:t>
      </w:r>
    </w:p>
    <w:p w14:paraId="25545FA7" w14:textId="77777777" w:rsidR="00064F2E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</w:p>
    <w:p w14:paraId="19017286" w14:textId="77777777" w:rsidR="00064F2E" w:rsidRPr="005A27BF" w:rsidRDefault="00064F2E" w:rsidP="00064F2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 w:cs="ArialMT"/>
          <w:color w:val="000000" w:themeColor="text1"/>
        </w:rPr>
      </w:pPr>
      <w:r w:rsidRPr="005A27BF">
        <w:rPr>
          <w:rFonts w:ascii="Century Gothic" w:hAnsi="Century Gothic" w:cs="ArialMT"/>
          <w:color w:val="000000" w:themeColor="text1"/>
        </w:rPr>
        <w:lastRenderedPageBreak/>
        <w:t xml:space="preserve">Analisar-se-á neste parecer a </w:t>
      </w:r>
      <w:r w:rsidRPr="005A27BF">
        <w:rPr>
          <w:rFonts w:ascii="Century Gothic" w:hAnsi="Century Gothic" w:cs="ArialMT"/>
          <w:b/>
          <w:color w:val="000000" w:themeColor="text1"/>
        </w:rPr>
        <w:t>constitucionalidade</w:t>
      </w:r>
      <w:r w:rsidRPr="005A27BF">
        <w:rPr>
          <w:rFonts w:ascii="Century Gothic" w:hAnsi="Century Gothic" w:cs="ArialMT"/>
          <w:color w:val="000000" w:themeColor="text1"/>
        </w:rPr>
        <w:t xml:space="preserve">, a </w:t>
      </w:r>
      <w:r w:rsidRPr="005A27BF">
        <w:rPr>
          <w:rFonts w:ascii="Century Gothic" w:hAnsi="Century Gothic" w:cs="ArialMT"/>
          <w:b/>
          <w:color w:val="000000" w:themeColor="text1"/>
        </w:rPr>
        <w:t>juridicidade</w:t>
      </w:r>
      <w:r w:rsidRPr="005A27BF">
        <w:rPr>
          <w:rFonts w:ascii="Century Gothic" w:hAnsi="Century Gothic" w:cs="ArialMT"/>
          <w:color w:val="000000" w:themeColor="text1"/>
        </w:rPr>
        <w:t xml:space="preserve">, a </w:t>
      </w:r>
      <w:r w:rsidRPr="005A27BF">
        <w:rPr>
          <w:rFonts w:ascii="Century Gothic" w:hAnsi="Century Gothic" w:cs="ArialMT"/>
          <w:b/>
          <w:color w:val="000000" w:themeColor="text1"/>
        </w:rPr>
        <w:t>legalidade</w:t>
      </w:r>
      <w:r w:rsidRPr="005A27BF">
        <w:rPr>
          <w:rFonts w:ascii="Century Gothic" w:hAnsi="Century Gothic" w:cs="ArialMT"/>
          <w:color w:val="000000" w:themeColor="text1"/>
        </w:rPr>
        <w:t xml:space="preserve"> e a</w:t>
      </w:r>
      <w:r w:rsidRPr="005A27BF">
        <w:rPr>
          <w:rFonts w:ascii="Century Gothic" w:hAnsi="Century Gothic" w:cs="ArialMT"/>
          <w:b/>
          <w:color w:val="000000" w:themeColor="text1"/>
        </w:rPr>
        <w:t xml:space="preserve"> técnica legislativa </w:t>
      </w:r>
      <w:r w:rsidRPr="005A27BF">
        <w:rPr>
          <w:rFonts w:ascii="Century Gothic" w:hAnsi="Century Gothic" w:cs="ArialMT"/>
          <w:color w:val="000000" w:themeColor="text1"/>
        </w:rPr>
        <w:t xml:space="preserve">do </w:t>
      </w:r>
      <w:r w:rsidRPr="005A27BF">
        <w:rPr>
          <w:rFonts w:ascii="Century Gothic" w:hAnsi="Century Gothic" w:cs="Arial"/>
          <w:b/>
          <w:bCs/>
          <w:iCs/>
          <w:color w:val="000000" w:themeColor="text1"/>
        </w:rPr>
        <w:t xml:space="preserve">Projeto de Lei nº </w:t>
      </w:r>
      <w:r w:rsidRPr="005A27BF">
        <w:rPr>
          <w:rFonts w:ascii="Century Gothic" w:hAnsi="Century Gothic" w:cs="Times New Roman"/>
          <w:b/>
        </w:rPr>
        <w:t>Lei n° 366/2019</w:t>
      </w:r>
      <w:r w:rsidRPr="005A27BF">
        <w:rPr>
          <w:rFonts w:ascii="Century Gothic" w:hAnsi="Century Gothic" w:cs="ArialMT"/>
          <w:color w:val="000000" w:themeColor="text1"/>
        </w:rPr>
        <w:t>apresentado.</w:t>
      </w:r>
    </w:p>
    <w:p w14:paraId="180E76A4" w14:textId="77777777" w:rsidR="00064F2E" w:rsidRPr="005A27BF" w:rsidRDefault="00064F2E" w:rsidP="00064F2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 w:cs="ArialMT"/>
          <w:color w:val="000000" w:themeColor="text1"/>
        </w:rPr>
      </w:pPr>
      <w:r w:rsidRPr="005A27BF">
        <w:rPr>
          <w:rFonts w:ascii="Century Gothic" w:hAnsi="Century Gothic" w:cs="ArialMT"/>
          <w:color w:val="000000" w:themeColor="text1"/>
        </w:rPr>
        <w:t xml:space="preserve">Nos termos previstos na Constituição Federal e na Constituição Estadual, a proposição em análise é </w:t>
      </w:r>
      <w:r w:rsidRPr="005A27BF">
        <w:rPr>
          <w:rFonts w:ascii="Century Gothic" w:hAnsi="Century Gothic" w:cs="ArialMT"/>
          <w:b/>
          <w:color w:val="000000" w:themeColor="text1"/>
          <w:u w:val="single"/>
        </w:rPr>
        <w:t>inconstitucional</w:t>
      </w:r>
      <w:r w:rsidRPr="005A27BF">
        <w:rPr>
          <w:rFonts w:ascii="Century Gothic" w:hAnsi="Century Gothic" w:cs="ArialMT"/>
          <w:b/>
          <w:color w:val="000000" w:themeColor="text1"/>
        </w:rPr>
        <w:t>.</w:t>
      </w:r>
    </w:p>
    <w:p w14:paraId="1D2E9E25" w14:textId="77777777" w:rsidR="00064F2E" w:rsidRPr="005A27BF" w:rsidRDefault="00064F2E" w:rsidP="00064F2E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Century Gothic" w:hAnsi="Century Gothic" w:cs="Times New Roman"/>
        </w:rPr>
      </w:pPr>
      <w:r w:rsidRPr="005A27BF">
        <w:rPr>
          <w:rFonts w:ascii="Century Gothic" w:hAnsi="Century Gothic" w:cs="Times New Roman"/>
        </w:rPr>
        <w:t xml:space="preserve">Na estrutura procedimental para a criação de uma Lei ordinária, apresentam-se constitucionalmente três fases: </w:t>
      </w:r>
      <w:r w:rsidRPr="005A27BF">
        <w:rPr>
          <w:rFonts w:ascii="Century Gothic" w:hAnsi="Century Gothic" w:cs="Times New Roman"/>
          <w:b/>
        </w:rPr>
        <w:t>iniciativa</w:t>
      </w:r>
      <w:r w:rsidRPr="005A27BF">
        <w:rPr>
          <w:rFonts w:ascii="Century Gothic" w:hAnsi="Century Gothic" w:cs="Times New Roman"/>
        </w:rPr>
        <w:t xml:space="preserve">, </w:t>
      </w:r>
      <w:r w:rsidRPr="005A27BF">
        <w:rPr>
          <w:rFonts w:ascii="Century Gothic" w:hAnsi="Century Gothic" w:cs="Times New Roman"/>
          <w:b/>
        </w:rPr>
        <w:t>constitutiva</w:t>
      </w:r>
      <w:r w:rsidRPr="005A27BF">
        <w:rPr>
          <w:rFonts w:ascii="Century Gothic" w:hAnsi="Century Gothic" w:cs="Times New Roman"/>
        </w:rPr>
        <w:t xml:space="preserve"> e </w:t>
      </w:r>
      <w:r w:rsidRPr="005A27BF">
        <w:rPr>
          <w:rFonts w:ascii="Century Gothic" w:hAnsi="Century Gothic" w:cs="Times New Roman"/>
          <w:b/>
        </w:rPr>
        <w:t>complementar</w:t>
      </w:r>
      <w:r w:rsidRPr="005A27BF">
        <w:rPr>
          <w:rFonts w:ascii="Century Gothic" w:hAnsi="Century Gothic" w:cs="Times New Roman"/>
        </w:rPr>
        <w:t>.</w:t>
      </w:r>
    </w:p>
    <w:p w14:paraId="5E83832D" w14:textId="77777777" w:rsidR="00064F2E" w:rsidRPr="005A27BF" w:rsidRDefault="00064F2E" w:rsidP="00064F2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 w:cs="ArialMT"/>
          <w:color w:val="000000" w:themeColor="text1"/>
        </w:rPr>
      </w:pPr>
      <w:r w:rsidRPr="005A27BF">
        <w:rPr>
          <w:rFonts w:ascii="Century Gothic" w:hAnsi="Century Gothic" w:cs="ArialMT"/>
          <w:color w:val="000000" w:themeColor="text1"/>
        </w:rPr>
        <w:t>O Constituinte Derivado Decorrente, na mesma linha do Constituinte Originário, reservou ao Chefe do Poder Executivo determinadas matérias que apenas sob a iniciativa deste é que poderão ser deliberadas e aprovadas.</w:t>
      </w:r>
    </w:p>
    <w:p w14:paraId="66A0B4BE" w14:textId="77777777" w:rsidR="00064F2E" w:rsidRPr="005A27BF" w:rsidRDefault="00064F2E" w:rsidP="00064F2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 w:cs="ArialMT"/>
          <w:color w:val="000000" w:themeColor="text1"/>
        </w:rPr>
      </w:pPr>
      <w:r w:rsidRPr="005A27BF">
        <w:rPr>
          <w:rFonts w:ascii="Century Gothic" w:hAnsi="Century Gothic" w:cs="ArialMT"/>
          <w:color w:val="000000" w:themeColor="text1"/>
        </w:rPr>
        <w:t>Sendo assim, fase iniciativa consiste em assegurar a determinado agente ou grupo de pessoas a propositura do ato normativo que especificar.</w:t>
      </w:r>
    </w:p>
    <w:p w14:paraId="22007BDB" w14:textId="77777777" w:rsidR="00064F2E" w:rsidRPr="005A27BF" w:rsidRDefault="00064F2E" w:rsidP="00064F2E">
      <w:pPr>
        <w:spacing w:after="0" w:line="360" w:lineRule="auto"/>
        <w:ind w:firstLine="1134"/>
        <w:jc w:val="both"/>
        <w:rPr>
          <w:rFonts w:ascii="Century Gothic" w:hAnsi="Century Gothic" w:cs="Times New Roman"/>
        </w:rPr>
      </w:pPr>
      <w:r w:rsidRPr="005A27BF">
        <w:rPr>
          <w:rFonts w:ascii="Century Gothic" w:hAnsi="Century Gothic" w:cs="Times New Roman"/>
        </w:rPr>
        <w:t xml:space="preserve">Em sintonia com isso, a iniciativa reservada (privativa) do Chefe do Poder Executiva encontra-se no </w:t>
      </w:r>
      <w:r w:rsidRPr="005A27BF">
        <w:rPr>
          <w:rFonts w:ascii="Century Gothic" w:hAnsi="Century Gothic" w:cs="Times New Roman"/>
          <w:b/>
        </w:rPr>
        <w:t>art. 43</w:t>
      </w:r>
      <w:r w:rsidRPr="005A27BF">
        <w:rPr>
          <w:rFonts w:ascii="Century Gothic" w:hAnsi="Century Gothic" w:cs="Times New Roman"/>
        </w:rPr>
        <w:t>. Senão vejamos:</w:t>
      </w:r>
    </w:p>
    <w:p w14:paraId="079C3217" w14:textId="77777777" w:rsidR="00064F2E" w:rsidRDefault="00064F2E" w:rsidP="00064F2E">
      <w:pPr>
        <w:spacing w:after="0" w:line="240" w:lineRule="auto"/>
        <w:ind w:left="1134"/>
        <w:jc w:val="both"/>
        <w:rPr>
          <w:rFonts w:ascii="Century Gothic" w:hAnsi="Century Gothic" w:cs="Times New Roman"/>
          <w:sz w:val="20"/>
          <w:szCs w:val="20"/>
        </w:rPr>
      </w:pPr>
      <w:r w:rsidRPr="005A27BF">
        <w:rPr>
          <w:rFonts w:ascii="Century Gothic" w:hAnsi="Century Gothic" w:cs="Times New Roman"/>
          <w:sz w:val="20"/>
          <w:szCs w:val="20"/>
        </w:rPr>
        <w:t xml:space="preserve">“São de iniciativa privativa do Governador do Estado as leis que disponham sobre: [...] III – organização administrativa e </w:t>
      </w:r>
      <w:r w:rsidRPr="005A27BF">
        <w:rPr>
          <w:rFonts w:ascii="Century Gothic" w:hAnsi="Century Gothic" w:cs="Times New Roman"/>
          <w:b/>
          <w:sz w:val="20"/>
          <w:szCs w:val="20"/>
          <w:u w:val="single"/>
        </w:rPr>
        <w:t>matéria orçamentária</w:t>
      </w:r>
      <w:r w:rsidRPr="005A27BF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[..]”</w:t>
      </w:r>
    </w:p>
    <w:p w14:paraId="0E3A524F" w14:textId="77777777" w:rsidR="00064F2E" w:rsidRPr="005A27BF" w:rsidRDefault="00064F2E" w:rsidP="00064F2E">
      <w:pPr>
        <w:spacing w:after="0" w:line="240" w:lineRule="auto"/>
        <w:ind w:left="1134"/>
        <w:jc w:val="both"/>
        <w:rPr>
          <w:rFonts w:ascii="Century Gothic" w:hAnsi="Century Gothic" w:cs="Times New Roman"/>
          <w:sz w:val="20"/>
          <w:szCs w:val="20"/>
        </w:rPr>
      </w:pPr>
    </w:p>
    <w:p w14:paraId="6E744BC8" w14:textId="77777777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Ultrapassando os aspectos formais, a</w:t>
      </w:r>
      <w:r w:rsidRPr="005A27BF">
        <w:rPr>
          <w:rFonts w:ascii="Century Gothic" w:hAnsi="Century Gothic" w:cs="Times New Roman"/>
        </w:rPr>
        <w:t xml:space="preserve"> Corte Constitucional decidiu que:</w:t>
      </w:r>
    </w:p>
    <w:p w14:paraId="7E8C2280" w14:textId="77777777" w:rsidR="00064F2E" w:rsidRPr="005A27BF" w:rsidRDefault="00064F2E" w:rsidP="00064F2E">
      <w:pPr>
        <w:spacing w:after="0" w:line="240" w:lineRule="auto"/>
        <w:ind w:left="1134"/>
        <w:jc w:val="both"/>
        <w:rPr>
          <w:rFonts w:ascii="Century Gothic" w:hAnsi="Century Gothic" w:cs="Times New Roman"/>
          <w:sz w:val="20"/>
          <w:szCs w:val="20"/>
        </w:rPr>
      </w:pPr>
      <w:r w:rsidRPr="005A27BF">
        <w:rPr>
          <w:rFonts w:ascii="Century Gothic" w:hAnsi="Century Gothic" w:cs="Times New Roman"/>
          <w:sz w:val="20"/>
          <w:szCs w:val="20"/>
        </w:rPr>
        <w:t> </w:t>
      </w:r>
      <w:r w:rsidRPr="005A27BF">
        <w:rPr>
          <w:rFonts w:ascii="Century Gothic" w:hAnsi="Century Gothic" w:cs="Times New Roman"/>
          <w:b/>
          <w:sz w:val="20"/>
          <w:szCs w:val="20"/>
        </w:rPr>
        <w:t>A intervenção estatal na economia, mediante regulamentação e regulação de setores econômicos, faz-se com respeito aos princípios e fundamentos da ordem econômica</w:t>
      </w:r>
      <w:r w:rsidRPr="005A27BF">
        <w:rPr>
          <w:rFonts w:ascii="Century Gothic" w:hAnsi="Century Gothic" w:cs="Times New Roman"/>
          <w:sz w:val="20"/>
          <w:szCs w:val="20"/>
        </w:rPr>
        <w:t xml:space="preserve">. </w:t>
      </w:r>
      <w:r w:rsidRPr="005A27BF">
        <w:rPr>
          <w:rFonts w:ascii="Century Gothic" w:hAnsi="Century Gothic" w:cs="Times New Roman"/>
          <w:b/>
          <w:sz w:val="20"/>
          <w:szCs w:val="20"/>
          <w:u w:val="single"/>
        </w:rPr>
        <w:t>CF, art. 170. O princípio da livre iniciativa é fundamento da República e da ordem econômica: CF, art. 1º, IV; art. 170.</w:t>
      </w:r>
      <w:r w:rsidRPr="005A27BF">
        <w:rPr>
          <w:rFonts w:ascii="Century Gothic" w:hAnsi="Century Gothic" w:cs="Times New Roman"/>
          <w:sz w:val="20"/>
          <w:szCs w:val="20"/>
        </w:rPr>
        <w:t xml:space="preserve"> Fixação de preços em valores abaixo da realidade e em desconformidade com a legislação aplicável ao setor: empecilho ao livre exercício da atividade econômica, com desrespeito ao princípio da livre iniciativa.[</w:t>
      </w:r>
      <w:hyperlink r:id="rId7" w:tgtFrame="_blank" w:history="1">
        <w:r w:rsidRPr="005A27BF">
          <w:rPr>
            <w:rFonts w:ascii="Century Gothic" w:hAnsi="Century Gothic" w:cs="Times New Roman"/>
            <w:b/>
            <w:bCs/>
            <w:sz w:val="20"/>
            <w:szCs w:val="20"/>
          </w:rPr>
          <w:t>RE 422.941</w:t>
        </w:r>
      </w:hyperlink>
      <w:r w:rsidRPr="005A27BF">
        <w:rPr>
          <w:rFonts w:ascii="Century Gothic" w:hAnsi="Century Gothic" w:cs="Times New Roman"/>
          <w:sz w:val="20"/>
          <w:szCs w:val="20"/>
        </w:rPr>
        <w:t>, rel. min. Carlos Velloso, j. 5-12-2005, 2ª T, </w:t>
      </w:r>
      <w:r w:rsidRPr="005A27BF">
        <w:rPr>
          <w:rFonts w:ascii="Century Gothic" w:hAnsi="Century Gothic" w:cs="Times New Roman"/>
          <w:i/>
          <w:iCs/>
          <w:sz w:val="20"/>
          <w:szCs w:val="20"/>
        </w:rPr>
        <w:t>DJ</w:t>
      </w:r>
      <w:r w:rsidRPr="005A27BF">
        <w:rPr>
          <w:rFonts w:ascii="Century Gothic" w:hAnsi="Century Gothic" w:cs="Times New Roman"/>
          <w:sz w:val="20"/>
          <w:szCs w:val="20"/>
        </w:rPr>
        <w:t> de 24-3-2006.]</w:t>
      </w:r>
      <w:r w:rsidRPr="005A27BF">
        <w:rPr>
          <w:rFonts w:ascii="Century Gothic" w:hAnsi="Century Gothic" w:cs="Times New Roman"/>
          <w:b/>
          <w:bCs/>
          <w:sz w:val="20"/>
          <w:szCs w:val="20"/>
        </w:rPr>
        <w:t>=</w:t>
      </w:r>
      <w:r w:rsidRPr="005A27BF">
        <w:rPr>
          <w:rFonts w:ascii="Century Gothic" w:hAnsi="Century Gothic" w:cs="Times New Roman"/>
          <w:sz w:val="20"/>
          <w:szCs w:val="20"/>
        </w:rPr>
        <w:t> </w:t>
      </w:r>
      <w:hyperlink r:id="rId8" w:history="1">
        <w:r w:rsidRPr="005A27BF">
          <w:rPr>
            <w:rFonts w:ascii="Century Gothic" w:hAnsi="Century Gothic" w:cs="Times New Roman"/>
            <w:sz w:val="20"/>
            <w:szCs w:val="20"/>
          </w:rPr>
          <w:t xml:space="preserve">AI 754.769 </w:t>
        </w:r>
        <w:proofErr w:type="spellStart"/>
        <w:r w:rsidRPr="005A27BF">
          <w:rPr>
            <w:rFonts w:ascii="Century Gothic" w:hAnsi="Century Gothic" w:cs="Times New Roman"/>
            <w:sz w:val="20"/>
            <w:szCs w:val="20"/>
          </w:rPr>
          <w:t>AgR</w:t>
        </w:r>
        <w:proofErr w:type="spellEnd"/>
      </w:hyperlink>
      <w:r w:rsidRPr="005A27BF">
        <w:rPr>
          <w:rFonts w:ascii="Century Gothic" w:hAnsi="Century Gothic" w:cs="Times New Roman"/>
          <w:sz w:val="20"/>
          <w:szCs w:val="20"/>
        </w:rPr>
        <w:t xml:space="preserve">, rel. min. </w:t>
      </w:r>
      <w:proofErr w:type="spellStart"/>
      <w:r w:rsidRPr="005A27BF">
        <w:rPr>
          <w:rFonts w:ascii="Century Gothic" w:hAnsi="Century Gothic" w:cs="Times New Roman"/>
          <w:sz w:val="20"/>
          <w:szCs w:val="20"/>
        </w:rPr>
        <w:t>Cármen</w:t>
      </w:r>
      <w:proofErr w:type="spellEnd"/>
      <w:r w:rsidRPr="005A27BF">
        <w:rPr>
          <w:rFonts w:ascii="Century Gothic" w:hAnsi="Century Gothic" w:cs="Times New Roman"/>
          <w:sz w:val="20"/>
          <w:szCs w:val="20"/>
        </w:rPr>
        <w:t xml:space="preserve"> Lúcia, j. 18-9-2012, 2ª T, </w:t>
      </w:r>
      <w:r w:rsidRPr="005A27BF">
        <w:rPr>
          <w:rFonts w:ascii="Century Gothic" w:hAnsi="Century Gothic" w:cs="Times New Roman"/>
          <w:i/>
          <w:iCs/>
          <w:sz w:val="20"/>
          <w:szCs w:val="20"/>
        </w:rPr>
        <w:t>DJE </w:t>
      </w:r>
      <w:r w:rsidRPr="005A27BF">
        <w:rPr>
          <w:rFonts w:ascii="Century Gothic" w:hAnsi="Century Gothic" w:cs="Times New Roman"/>
          <w:sz w:val="20"/>
          <w:szCs w:val="20"/>
        </w:rPr>
        <w:t>de 4-10-2012</w:t>
      </w:r>
    </w:p>
    <w:p w14:paraId="6114899A" w14:textId="77777777" w:rsidR="00064F2E" w:rsidRPr="005A27BF" w:rsidRDefault="00064F2E" w:rsidP="00064F2E">
      <w:pPr>
        <w:spacing w:after="0" w:line="240" w:lineRule="auto"/>
        <w:ind w:left="1134"/>
        <w:jc w:val="both"/>
        <w:rPr>
          <w:rFonts w:ascii="Century Gothic" w:hAnsi="Century Gothic" w:cs="Times New Roman"/>
        </w:rPr>
      </w:pPr>
    </w:p>
    <w:p w14:paraId="6BEFB195" w14:textId="2AF96C21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Nesse contexto, a</w:t>
      </w:r>
      <w:r w:rsidRPr="005A27BF">
        <w:rPr>
          <w:rFonts w:ascii="Century Gothic" w:hAnsi="Century Gothic" w:cs="Times New Roman"/>
        </w:rPr>
        <w:t>pesar de aparentemente tentar tratar de matéria afeta as cultura e direito econômico, em virtude da competência concorrente, o projeto adentra substancialmente na liberdade econômica e organizacional</w:t>
      </w:r>
      <w:r w:rsidRPr="005A27BF">
        <w:rPr>
          <w:rFonts w:ascii="Century Gothic" w:hAnsi="Century Gothic" w:cs="Arial"/>
          <w:iCs/>
          <w:color w:val="000000" w:themeColor="text1"/>
        </w:rPr>
        <w:t xml:space="preserve"> das empresas, associações, entidades, organizadores de eventos, ou similar</w:t>
      </w:r>
      <w:r w:rsidRPr="005A27BF">
        <w:rPr>
          <w:rFonts w:ascii="Century Gothic" w:hAnsi="Century Gothic" w:cs="Times New Roman"/>
        </w:rPr>
        <w:t>, que realizam eventos culturais, sob pena de intromissão indevida na atividade econômica, ferindo o princípio da livre iniciativa e proporcionalidade (art. 170</w:t>
      </w:r>
      <w:r>
        <w:rPr>
          <w:rFonts w:ascii="Century Gothic" w:hAnsi="Century Gothic" w:cs="Times New Roman"/>
        </w:rPr>
        <w:t>,</w:t>
      </w:r>
      <w:r w:rsidRPr="005A27BF">
        <w:rPr>
          <w:rFonts w:ascii="Century Gothic" w:hAnsi="Century Gothic" w:cs="Times New Roman"/>
        </w:rPr>
        <w:t xml:space="preserve"> da CF/88). </w:t>
      </w:r>
    </w:p>
    <w:p w14:paraId="657C9CC2" w14:textId="77777777" w:rsidR="00064F2E" w:rsidRDefault="00064F2E" w:rsidP="00064F2E">
      <w:pPr>
        <w:spacing w:line="360" w:lineRule="auto"/>
        <w:ind w:firstLine="1134"/>
        <w:jc w:val="both"/>
        <w:rPr>
          <w:rFonts w:ascii="Century Gothic" w:hAnsi="Century Gothic" w:cs="Arial"/>
          <w:iCs/>
          <w:color w:val="000000" w:themeColor="text1"/>
        </w:rPr>
      </w:pPr>
    </w:p>
    <w:p w14:paraId="7896B396" w14:textId="77777777" w:rsidR="00064F2E" w:rsidRDefault="00064F2E" w:rsidP="00064F2E">
      <w:pPr>
        <w:spacing w:line="360" w:lineRule="auto"/>
        <w:ind w:firstLine="1134"/>
        <w:jc w:val="both"/>
        <w:rPr>
          <w:rFonts w:ascii="Century Gothic" w:hAnsi="Century Gothic" w:cs="Arial"/>
          <w:iCs/>
          <w:color w:val="000000" w:themeColor="text1"/>
        </w:rPr>
      </w:pPr>
      <w:r w:rsidRPr="005A27BF">
        <w:rPr>
          <w:rFonts w:ascii="Century Gothic" w:hAnsi="Century Gothic" w:cs="Arial"/>
          <w:iCs/>
          <w:color w:val="000000" w:themeColor="text1"/>
        </w:rPr>
        <w:lastRenderedPageBreak/>
        <w:t>O fato dessas entidades receberem subvenções sociais, financeiras ou auxílio financeiros do Poder Público não autoriza a realização de ingerências do Estado sobre a organização e contratação de artistas, grupos, bandas, músicos ou afins maranhenses em geral.</w:t>
      </w:r>
    </w:p>
    <w:p w14:paraId="381381D3" w14:textId="77777777" w:rsidR="00064F2E" w:rsidRDefault="00064F2E" w:rsidP="00064F2E">
      <w:pPr>
        <w:spacing w:line="360" w:lineRule="auto"/>
        <w:ind w:firstLine="1134"/>
        <w:jc w:val="both"/>
        <w:rPr>
          <w:rFonts w:ascii="Century Gothic" w:hAnsi="Century Gothic" w:cs="Arial"/>
          <w:iCs/>
          <w:color w:val="000000" w:themeColor="text1"/>
        </w:rPr>
      </w:pPr>
      <w:r>
        <w:rPr>
          <w:rFonts w:ascii="Century Gothic" w:hAnsi="Century Gothic" w:cs="Arial"/>
          <w:iCs/>
          <w:color w:val="000000" w:themeColor="text1"/>
        </w:rPr>
        <w:t xml:space="preserve">Além disso, a utilização de 70% (setenta por cento) do valor do recurso público recebido, para a contratação de artistas locais em apresentações ou exposições nos eventos, afigura-se totalmente desproporcional, podendo inclusive inviabilizá-los. </w:t>
      </w:r>
    </w:p>
    <w:p w14:paraId="3E6E4DEC" w14:textId="3DB5F6D2" w:rsidR="00064F2E" w:rsidRPr="005A27BF" w:rsidRDefault="00064F2E" w:rsidP="00064F2E">
      <w:pPr>
        <w:spacing w:line="360" w:lineRule="auto"/>
        <w:ind w:firstLine="1134"/>
        <w:jc w:val="both"/>
        <w:rPr>
          <w:rFonts w:ascii="Century Gothic" w:hAnsi="Century Gothic" w:cs="Times New Roman"/>
        </w:rPr>
      </w:pPr>
      <w:r w:rsidRPr="005A27BF">
        <w:rPr>
          <w:rFonts w:ascii="Century Gothic" w:hAnsi="Century Gothic" w:cs="Times New Roman"/>
        </w:rPr>
        <w:t xml:space="preserve">Portanto, a proposição em análise possui vício formal e material de constitucionalidade, pois </w:t>
      </w:r>
      <w:r>
        <w:rPr>
          <w:rFonts w:ascii="Century Gothic" w:hAnsi="Century Gothic" w:cs="Times New Roman"/>
        </w:rPr>
        <w:t xml:space="preserve">viola a iniciativa privativa do Chefe do Poder Executivo, além dos </w:t>
      </w:r>
      <w:r w:rsidRPr="005A27BF">
        <w:rPr>
          <w:rFonts w:ascii="Century Gothic" w:hAnsi="Century Gothic" w:cs="Times New Roman"/>
          <w:b/>
        </w:rPr>
        <w:t>princípios da ordem econômica</w:t>
      </w:r>
      <w:r w:rsidRPr="005A27BF">
        <w:rPr>
          <w:rFonts w:ascii="Century Gothic" w:hAnsi="Century Gothic" w:cs="Times New Roman"/>
        </w:rPr>
        <w:t xml:space="preserve">, em especial o </w:t>
      </w:r>
      <w:r w:rsidRPr="005A27BF">
        <w:rPr>
          <w:rFonts w:ascii="Century Gothic" w:hAnsi="Century Gothic" w:cs="Times New Roman"/>
          <w:b/>
        </w:rPr>
        <w:t>princípio da livre iniciativa</w:t>
      </w:r>
      <w:r w:rsidRPr="005A27BF">
        <w:rPr>
          <w:rFonts w:ascii="Century Gothic" w:hAnsi="Century Gothic" w:cs="Times New Roman"/>
        </w:rPr>
        <w:t xml:space="preserve"> e </w:t>
      </w:r>
      <w:r w:rsidRPr="005A27BF">
        <w:rPr>
          <w:rFonts w:ascii="Century Gothic" w:hAnsi="Century Gothic" w:cs="Times New Roman"/>
          <w:b/>
        </w:rPr>
        <w:t>intervenção na atividade privada</w:t>
      </w:r>
      <w:r w:rsidRPr="005A27BF">
        <w:rPr>
          <w:rFonts w:ascii="Century Gothic" w:hAnsi="Century Gothic" w:cs="Times New Roman"/>
        </w:rPr>
        <w:t xml:space="preserve"> das empresas (art. 170</w:t>
      </w:r>
      <w:r>
        <w:rPr>
          <w:rFonts w:ascii="Century Gothic" w:hAnsi="Century Gothic" w:cs="Times New Roman"/>
        </w:rPr>
        <w:t>,</w:t>
      </w:r>
      <w:r w:rsidRPr="005A27BF">
        <w:rPr>
          <w:rFonts w:ascii="Century Gothic" w:hAnsi="Century Gothic" w:cs="Times New Roman"/>
        </w:rPr>
        <w:t xml:space="preserve"> da CF/88).</w:t>
      </w:r>
    </w:p>
    <w:p w14:paraId="6C37AEE2" w14:textId="497FDBA1" w:rsidR="00834D5A" w:rsidRDefault="00834D5A" w:rsidP="00507D84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9867B" w14:textId="77777777" w:rsidR="00060423" w:rsidRPr="009639CD" w:rsidRDefault="00060423" w:rsidP="00507D84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E16E5" w14:textId="77777777" w:rsidR="003673BF" w:rsidRPr="009639CD" w:rsidRDefault="003673BF" w:rsidP="003673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9CD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36D75740" w14:textId="66A7BF28" w:rsidR="007432CC" w:rsidRPr="00064F2E" w:rsidRDefault="007432CC" w:rsidP="0006042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 w:cs="Times New Roman"/>
          <w:b/>
          <w:color w:val="000000" w:themeColor="text1"/>
        </w:rPr>
      </w:pPr>
      <w:r w:rsidRPr="00064F2E">
        <w:rPr>
          <w:rFonts w:ascii="Century Gothic" w:hAnsi="Century Gothic" w:cs="Times New Roman"/>
          <w:color w:val="000000" w:themeColor="text1"/>
        </w:rPr>
        <w:t xml:space="preserve">Sendo assim, </w:t>
      </w:r>
      <w:r w:rsidRPr="00064F2E">
        <w:rPr>
          <w:rFonts w:ascii="Century Gothic" w:hAnsi="Century Gothic" w:cs="Times New Roman"/>
          <w:b/>
          <w:color w:val="000000" w:themeColor="text1"/>
        </w:rPr>
        <w:t xml:space="preserve">opina-se pela </w:t>
      </w:r>
      <w:r w:rsidR="00E55503" w:rsidRPr="00064F2E">
        <w:rPr>
          <w:rFonts w:ascii="Century Gothic" w:hAnsi="Century Gothic" w:cs="Times New Roman"/>
          <w:b/>
          <w:color w:val="000000" w:themeColor="text1"/>
        </w:rPr>
        <w:t>rejeição</w:t>
      </w:r>
      <w:r w:rsidRPr="00064F2E">
        <w:rPr>
          <w:rFonts w:ascii="Century Gothic" w:hAnsi="Century Gothic" w:cs="Times New Roman"/>
          <w:b/>
          <w:color w:val="000000" w:themeColor="text1"/>
        </w:rPr>
        <w:t xml:space="preserve"> do P</w:t>
      </w:r>
      <w:r w:rsidR="003673BF" w:rsidRPr="00064F2E">
        <w:rPr>
          <w:rFonts w:ascii="Century Gothic" w:hAnsi="Century Gothic" w:cs="Times New Roman"/>
          <w:b/>
          <w:color w:val="000000" w:themeColor="text1"/>
        </w:rPr>
        <w:t xml:space="preserve">rojeto de </w:t>
      </w:r>
      <w:r w:rsidRPr="00064F2E">
        <w:rPr>
          <w:rFonts w:ascii="Century Gothic" w:hAnsi="Century Gothic" w:cs="Times New Roman"/>
          <w:b/>
          <w:color w:val="000000" w:themeColor="text1"/>
        </w:rPr>
        <w:t>L</w:t>
      </w:r>
      <w:r w:rsidR="003673BF" w:rsidRPr="00064F2E">
        <w:rPr>
          <w:rFonts w:ascii="Century Gothic" w:hAnsi="Century Gothic" w:cs="Times New Roman"/>
          <w:b/>
          <w:color w:val="000000" w:themeColor="text1"/>
        </w:rPr>
        <w:t>ei</w:t>
      </w:r>
      <w:r w:rsidRPr="00064F2E">
        <w:rPr>
          <w:rFonts w:ascii="Century Gothic" w:hAnsi="Century Gothic" w:cs="Times New Roman"/>
          <w:b/>
          <w:color w:val="000000" w:themeColor="text1"/>
        </w:rPr>
        <w:t xml:space="preserve"> nº </w:t>
      </w:r>
      <w:r w:rsidR="006049E4" w:rsidRPr="00064F2E">
        <w:rPr>
          <w:rFonts w:ascii="Century Gothic" w:hAnsi="Century Gothic" w:cs="Times New Roman"/>
          <w:b/>
          <w:color w:val="000000" w:themeColor="text1"/>
        </w:rPr>
        <w:t>3</w:t>
      </w:r>
      <w:r w:rsidR="00064F2E">
        <w:rPr>
          <w:rFonts w:ascii="Century Gothic" w:hAnsi="Century Gothic" w:cs="Times New Roman"/>
          <w:b/>
          <w:color w:val="000000" w:themeColor="text1"/>
        </w:rPr>
        <w:t>66</w:t>
      </w:r>
      <w:r w:rsidRPr="00064F2E">
        <w:rPr>
          <w:rFonts w:ascii="Century Gothic" w:hAnsi="Century Gothic" w:cs="Times New Roman"/>
          <w:b/>
          <w:color w:val="000000" w:themeColor="text1"/>
        </w:rPr>
        <w:t>/</w:t>
      </w:r>
      <w:r w:rsidR="00EF685D" w:rsidRPr="00064F2E">
        <w:rPr>
          <w:rFonts w:ascii="Century Gothic" w:hAnsi="Century Gothic" w:cs="Times New Roman"/>
          <w:b/>
          <w:color w:val="000000" w:themeColor="text1"/>
        </w:rPr>
        <w:t>2019</w:t>
      </w:r>
      <w:r w:rsidRPr="00064F2E">
        <w:rPr>
          <w:rFonts w:ascii="Century Gothic" w:hAnsi="Century Gothic" w:cs="Times New Roman"/>
          <w:color w:val="000000" w:themeColor="text1"/>
        </w:rPr>
        <w:t xml:space="preserve">, </w:t>
      </w:r>
      <w:r w:rsidR="009639CD" w:rsidRPr="00064F2E">
        <w:rPr>
          <w:rFonts w:ascii="Century Gothic" w:hAnsi="Century Gothic" w:cs="Times New Roman"/>
          <w:color w:val="000000" w:themeColor="text1"/>
        </w:rPr>
        <w:t xml:space="preserve">em face </w:t>
      </w:r>
      <w:r w:rsidR="00E55503" w:rsidRPr="00064F2E">
        <w:rPr>
          <w:rFonts w:ascii="Century Gothic" w:hAnsi="Century Gothic" w:cs="Times New Roman"/>
          <w:color w:val="000000" w:themeColor="text1"/>
        </w:rPr>
        <w:t>da sua inconstitucionalidade</w:t>
      </w:r>
      <w:r w:rsidR="00060423" w:rsidRPr="00064F2E">
        <w:rPr>
          <w:rFonts w:ascii="Century Gothic" w:hAnsi="Century Gothic" w:cs="Times New Roman"/>
          <w:color w:val="000000" w:themeColor="text1"/>
        </w:rPr>
        <w:t xml:space="preserve"> formal</w:t>
      </w:r>
      <w:r w:rsidR="00064F2E" w:rsidRPr="00064F2E">
        <w:rPr>
          <w:rFonts w:ascii="Century Gothic" w:hAnsi="Century Gothic" w:cs="Times New Roman"/>
          <w:color w:val="000000" w:themeColor="text1"/>
        </w:rPr>
        <w:t xml:space="preserve"> e material</w:t>
      </w:r>
      <w:r w:rsidRPr="00064F2E">
        <w:rPr>
          <w:rFonts w:ascii="Century Gothic" w:hAnsi="Century Gothic" w:cs="Times New Roman"/>
          <w:b/>
          <w:color w:val="000000" w:themeColor="text1"/>
        </w:rPr>
        <w:t>.</w:t>
      </w:r>
    </w:p>
    <w:p w14:paraId="2A6863A8" w14:textId="66E69EA1" w:rsidR="003673BF" w:rsidRPr="00064F2E" w:rsidRDefault="003673BF" w:rsidP="0006042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 w:cs="Times New Roman"/>
          <w:color w:val="000000" w:themeColor="text1"/>
        </w:rPr>
      </w:pPr>
      <w:r w:rsidRPr="00064F2E">
        <w:rPr>
          <w:rFonts w:ascii="Century Gothic" w:hAnsi="Century Gothic" w:cs="Times New Roman"/>
          <w:color w:val="000000" w:themeColor="text1"/>
        </w:rPr>
        <w:t>É o voto.</w:t>
      </w:r>
    </w:p>
    <w:p w14:paraId="6CE28F27" w14:textId="4C51213D" w:rsidR="00F61572" w:rsidRPr="00064F2E" w:rsidRDefault="00F61572" w:rsidP="0006042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 w:cs="Times New Roman"/>
          <w:color w:val="000000" w:themeColor="text1"/>
        </w:rPr>
      </w:pPr>
    </w:p>
    <w:p w14:paraId="3450485A" w14:textId="77777777" w:rsidR="00060423" w:rsidRDefault="00060423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CD23D80" w14:textId="77777777" w:rsidR="00060423" w:rsidRDefault="00060423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4326F51" w14:textId="77777777" w:rsidR="00060423" w:rsidRDefault="00060423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BDA16E" w14:textId="77777777" w:rsidR="00060423" w:rsidRDefault="00060423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A78D75C" w14:textId="77777777" w:rsidR="00060423" w:rsidRDefault="00060423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71C0FB" w14:textId="77777777" w:rsidR="00060423" w:rsidRDefault="00060423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736E8B6" w14:textId="77777777" w:rsidR="00060423" w:rsidRDefault="00060423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06E74F6" w14:textId="44ABCC42" w:rsidR="00064040" w:rsidRPr="009639CD" w:rsidRDefault="00064040" w:rsidP="0006404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39C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0889DCC9" w14:textId="0B8DE448" w:rsidR="00064040" w:rsidRPr="00064F2E" w:rsidRDefault="00064040" w:rsidP="00064040">
      <w:pPr>
        <w:spacing w:line="360" w:lineRule="auto"/>
        <w:ind w:firstLine="851"/>
        <w:jc w:val="both"/>
        <w:rPr>
          <w:rFonts w:ascii="Century Gothic" w:eastAsia="Calibri" w:hAnsi="Century Gothic" w:cs="Times New Roman"/>
        </w:rPr>
      </w:pPr>
      <w:r w:rsidRPr="00064F2E">
        <w:rPr>
          <w:rFonts w:ascii="Century Gothic" w:eastAsia="Calibri" w:hAnsi="Century Gothic" w:cs="Times New Roman"/>
        </w:rPr>
        <w:t xml:space="preserve">Os membros da Comissão de Constituição, Justiça e Cidadania </w:t>
      </w:r>
      <w:r w:rsidRPr="00D02767">
        <w:rPr>
          <w:rFonts w:ascii="Century Gothic" w:eastAsia="Calibri" w:hAnsi="Century Gothic" w:cs="Times New Roman"/>
          <w:b/>
        </w:rPr>
        <w:t xml:space="preserve">votam </w:t>
      </w:r>
      <w:r w:rsidR="00D02767" w:rsidRPr="00D02767">
        <w:rPr>
          <w:rFonts w:ascii="Century Gothic" w:eastAsia="Calibri" w:hAnsi="Century Gothic" w:cs="Times New Roman"/>
          <w:b/>
        </w:rPr>
        <w:t>por maioria</w:t>
      </w:r>
      <w:r w:rsidR="00D02767">
        <w:rPr>
          <w:rFonts w:ascii="Century Gothic" w:eastAsia="Calibri" w:hAnsi="Century Gothic" w:cs="Times New Roman"/>
        </w:rPr>
        <w:t xml:space="preserve">, </w:t>
      </w:r>
      <w:r w:rsidRPr="00064F2E">
        <w:rPr>
          <w:rFonts w:ascii="Century Gothic" w:eastAsia="Calibri" w:hAnsi="Century Gothic" w:cs="Times New Roman"/>
        </w:rPr>
        <w:t xml:space="preserve">pela </w:t>
      </w:r>
      <w:r w:rsidR="00E55503" w:rsidRPr="00064F2E">
        <w:rPr>
          <w:rFonts w:ascii="Century Gothic" w:eastAsia="Calibri" w:hAnsi="Century Gothic" w:cs="Times New Roman"/>
          <w:b/>
        </w:rPr>
        <w:t>rejeição</w:t>
      </w:r>
      <w:r w:rsidRPr="00064F2E">
        <w:rPr>
          <w:rFonts w:ascii="Century Gothic" w:eastAsia="Calibri" w:hAnsi="Century Gothic" w:cs="Times New Roman"/>
          <w:b/>
        </w:rPr>
        <w:t xml:space="preserve"> </w:t>
      </w:r>
      <w:r w:rsidRPr="00064F2E">
        <w:rPr>
          <w:rFonts w:ascii="Century Gothic" w:eastAsia="Calibri" w:hAnsi="Century Gothic" w:cs="Times New Roman"/>
        </w:rPr>
        <w:t xml:space="preserve">do </w:t>
      </w:r>
      <w:r w:rsidRPr="00064F2E">
        <w:rPr>
          <w:rFonts w:ascii="Century Gothic" w:eastAsia="Calibri" w:hAnsi="Century Gothic" w:cs="Times New Roman"/>
          <w:b/>
        </w:rPr>
        <w:t xml:space="preserve">Projeto de Lei Ordinária nº </w:t>
      </w:r>
      <w:r w:rsidR="00064F2E">
        <w:rPr>
          <w:rFonts w:ascii="Century Gothic" w:eastAsia="Calibri" w:hAnsi="Century Gothic" w:cs="Times New Roman"/>
          <w:b/>
        </w:rPr>
        <w:t>366</w:t>
      </w:r>
      <w:r w:rsidRPr="00064F2E">
        <w:rPr>
          <w:rFonts w:ascii="Century Gothic" w:eastAsia="Calibri" w:hAnsi="Century Gothic" w:cs="Times New Roman"/>
          <w:b/>
        </w:rPr>
        <w:t>/2019</w:t>
      </w:r>
      <w:r w:rsidRPr="00064F2E">
        <w:rPr>
          <w:rFonts w:ascii="Century Gothic" w:eastAsia="Calibri" w:hAnsi="Century Gothic" w:cs="Times New Roman"/>
        </w:rPr>
        <w:t>, nos termos do voto do Relator</w:t>
      </w:r>
      <w:r w:rsidR="0045459B">
        <w:rPr>
          <w:rFonts w:ascii="Century Gothic" w:eastAsia="Calibri" w:hAnsi="Century Gothic" w:cs="Times New Roman"/>
        </w:rPr>
        <w:t>, contra os votos dos Senhores Deputados Antônio Pereira e César Pires</w:t>
      </w:r>
      <w:r w:rsidRPr="00064F2E">
        <w:rPr>
          <w:rFonts w:ascii="Century Gothic" w:eastAsia="Calibri" w:hAnsi="Century Gothic" w:cs="Times New Roman"/>
        </w:rPr>
        <w:t>.</w:t>
      </w:r>
    </w:p>
    <w:p w14:paraId="2BE7AF36" w14:textId="77777777" w:rsidR="00064040" w:rsidRPr="00064F2E" w:rsidRDefault="00064040" w:rsidP="00064040">
      <w:pPr>
        <w:spacing w:line="360" w:lineRule="auto"/>
        <w:ind w:firstLine="851"/>
        <w:jc w:val="both"/>
        <w:rPr>
          <w:rFonts w:ascii="Century Gothic" w:hAnsi="Century Gothic" w:cs="Times New Roman"/>
        </w:rPr>
      </w:pPr>
      <w:r w:rsidRPr="00064F2E">
        <w:rPr>
          <w:rFonts w:ascii="Century Gothic" w:hAnsi="Century Gothic" w:cs="Times New Roman"/>
        </w:rPr>
        <w:t xml:space="preserve"> É o parecer.</w:t>
      </w:r>
    </w:p>
    <w:p w14:paraId="72397A30" w14:textId="42E5F2D9" w:rsidR="00064040" w:rsidRPr="00064F2E" w:rsidRDefault="00064040" w:rsidP="00064040">
      <w:pPr>
        <w:spacing w:line="360" w:lineRule="auto"/>
        <w:ind w:firstLine="851"/>
        <w:jc w:val="both"/>
        <w:rPr>
          <w:rFonts w:ascii="Century Gothic" w:eastAsia="Calibri" w:hAnsi="Century Gothic" w:cs="Times New Roman"/>
        </w:rPr>
      </w:pPr>
      <w:r w:rsidRPr="00064F2E">
        <w:rPr>
          <w:rFonts w:ascii="Century Gothic" w:hAnsi="Century Gothic" w:cs="Times New Roman"/>
        </w:rPr>
        <w:t xml:space="preserve"> </w:t>
      </w:r>
      <w:r w:rsidRPr="00064F2E">
        <w:rPr>
          <w:rFonts w:ascii="Century Gothic" w:eastAsia="Calibri" w:hAnsi="Century Gothic" w:cs="Times New Roman"/>
        </w:rPr>
        <w:t>SALA DAS COMISSÕES “DEPUTADO LÉO FRANKLIM”, em</w:t>
      </w:r>
      <w:r w:rsidR="00F76773">
        <w:rPr>
          <w:rFonts w:ascii="Century Gothic" w:eastAsia="Calibri" w:hAnsi="Century Gothic" w:cs="Times New Roman"/>
        </w:rPr>
        <w:t xml:space="preserve"> </w:t>
      </w:r>
      <w:r w:rsidR="00D02767">
        <w:rPr>
          <w:rFonts w:ascii="Century Gothic" w:eastAsia="Calibri" w:hAnsi="Century Gothic" w:cs="Times New Roman"/>
        </w:rPr>
        <w:t>08</w:t>
      </w:r>
      <w:r w:rsidRPr="00064F2E">
        <w:rPr>
          <w:rFonts w:ascii="Century Gothic" w:eastAsia="Calibri" w:hAnsi="Century Gothic" w:cs="Times New Roman"/>
        </w:rPr>
        <w:t xml:space="preserve"> de </w:t>
      </w:r>
      <w:r w:rsidR="00F76773">
        <w:rPr>
          <w:rFonts w:ascii="Century Gothic" w:eastAsia="Calibri" w:hAnsi="Century Gothic" w:cs="Times New Roman"/>
        </w:rPr>
        <w:t>outubro</w:t>
      </w:r>
      <w:r w:rsidRPr="00064F2E">
        <w:rPr>
          <w:rFonts w:ascii="Century Gothic" w:eastAsia="Calibri" w:hAnsi="Century Gothic" w:cs="Times New Roman"/>
        </w:rPr>
        <w:t xml:space="preserve"> de 2019.  </w:t>
      </w:r>
    </w:p>
    <w:p w14:paraId="1A9B2F25" w14:textId="196B731A" w:rsidR="00D02767" w:rsidRPr="00D02767" w:rsidRDefault="00064040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9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D02767" w:rsidRPr="00D02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Presidente</w:t>
      </w:r>
      <w:r w:rsidR="00D02767"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Deputado Neto Evangelista</w:t>
      </w:r>
    </w:p>
    <w:p w14:paraId="4E6C5C42" w14:textId="6A623876" w:rsidR="00D02767" w:rsidRPr="00D02767" w:rsidRDefault="00D02767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D02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Relator</w:t>
      </w: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Rafael Leitoa</w:t>
      </w:r>
    </w:p>
    <w:p w14:paraId="08A5724D" w14:textId="2A5F4047" w:rsidR="00D02767" w:rsidRPr="00D02767" w:rsidRDefault="00D02767" w:rsidP="00D027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D02767">
        <w:rPr>
          <w:rFonts w:ascii="Times New Roman" w:eastAsia="Calibri" w:hAnsi="Times New Roman" w:cs="Times New Roman"/>
          <w:color w:val="000000"/>
        </w:rPr>
        <w:t xml:space="preserve"> </w:t>
      </w:r>
    </w:p>
    <w:p w14:paraId="4E1EA92C" w14:textId="77777777" w:rsidR="00D02767" w:rsidRPr="00D02767" w:rsidRDefault="00D02767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Vota a </w:t>
      </w:r>
      <w:proofErr w:type="gramStart"/>
      <w:r w:rsidRPr="00D02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favor                                                         Vota</w:t>
      </w:r>
      <w:proofErr w:type="gramEnd"/>
      <w:r w:rsidRPr="00D02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contra</w:t>
      </w:r>
    </w:p>
    <w:p w14:paraId="094CD57A" w14:textId="7FC78021" w:rsidR="00D02767" w:rsidRPr="00D02767" w:rsidRDefault="00D02767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Fernando Pessoa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Deputado Antônio Pereira</w:t>
      </w:r>
    </w:p>
    <w:p w14:paraId="63A670A6" w14:textId="14DD1727" w:rsidR="00D02767" w:rsidRPr="00D02767" w:rsidRDefault="00D02767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Wendell Lages</w:t>
      </w: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Deputado César Pires</w:t>
      </w:r>
    </w:p>
    <w:p w14:paraId="033C8D84" w14:textId="0DAC301D" w:rsidR="00D02767" w:rsidRPr="00D02767" w:rsidRDefault="00D02767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</w:t>
      </w: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_________________________</w:t>
      </w:r>
    </w:p>
    <w:p w14:paraId="347617BF" w14:textId="77777777" w:rsidR="00D02767" w:rsidRPr="00D02767" w:rsidRDefault="00D02767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</w:t>
      </w: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_________________________</w:t>
      </w:r>
    </w:p>
    <w:p w14:paraId="3179D7F9" w14:textId="77777777" w:rsidR="00D02767" w:rsidRPr="00D02767" w:rsidRDefault="00D02767" w:rsidP="00D02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</w:t>
      </w:r>
      <w:r w:rsidRPr="00D02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_________________________</w:t>
      </w:r>
    </w:p>
    <w:p w14:paraId="45C97C86" w14:textId="77777777" w:rsidR="003673BF" w:rsidRPr="009639CD" w:rsidRDefault="003673BF" w:rsidP="007432CC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73BF" w:rsidRPr="009639CD" w:rsidSect="003673BF">
      <w:headerReference w:type="default" r:id="rId9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8576" w14:textId="77777777" w:rsidR="004E4567" w:rsidRDefault="004E4567" w:rsidP="001C4230">
      <w:pPr>
        <w:spacing w:after="0" w:line="240" w:lineRule="auto"/>
      </w:pPr>
      <w:r>
        <w:separator/>
      </w:r>
    </w:p>
  </w:endnote>
  <w:endnote w:type="continuationSeparator" w:id="0">
    <w:p w14:paraId="6DD5F1FD" w14:textId="77777777" w:rsidR="004E4567" w:rsidRDefault="004E4567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CC4B" w14:textId="77777777" w:rsidR="004E4567" w:rsidRDefault="004E4567" w:rsidP="001C4230">
      <w:pPr>
        <w:spacing w:after="0" w:line="240" w:lineRule="auto"/>
      </w:pPr>
      <w:r>
        <w:separator/>
      </w:r>
    </w:p>
  </w:footnote>
  <w:footnote w:type="continuationSeparator" w:id="0">
    <w:p w14:paraId="5C3DBC75" w14:textId="77777777" w:rsidR="004E4567" w:rsidRDefault="004E4567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B664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77059514" wp14:editId="2C3505A5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0E554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60BAC0E6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77871B48" w14:textId="77777777" w:rsidR="003673BF" w:rsidRPr="00BA6504" w:rsidRDefault="003673BF" w:rsidP="003673BF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152E904C" w14:textId="77777777" w:rsidR="003673BF" w:rsidRDefault="003673BF" w:rsidP="003673BF">
    <w:pPr>
      <w:pStyle w:val="Cabealho"/>
      <w:jc w:val="center"/>
    </w:pPr>
    <w:r w:rsidRPr="00BA6504">
      <w:rPr>
        <w:rFonts w:eastAsia="Calibri"/>
      </w:rPr>
      <w:t>DIRETORIA LEGISLATIVA</w:t>
    </w:r>
  </w:p>
  <w:p w14:paraId="36625FE5" w14:textId="77777777" w:rsidR="003673BF" w:rsidRPr="0019434F" w:rsidRDefault="003673BF" w:rsidP="003673BF">
    <w:pPr>
      <w:pStyle w:val="Cabealho"/>
      <w:jc w:val="center"/>
      <w:rPr>
        <w:rFonts w:ascii="Verdana" w:hAnsi="Verdana"/>
        <w:b/>
        <w:sz w:val="20"/>
        <w:szCs w:val="20"/>
      </w:rPr>
    </w:pPr>
  </w:p>
  <w:p w14:paraId="002FA33B" w14:textId="77777777" w:rsidR="003673BF" w:rsidRDefault="003673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1909"/>
    <w:rsid w:val="00015F72"/>
    <w:rsid w:val="00027EDA"/>
    <w:rsid w:val="00045B45"/>
    <w:rsid w:val="000601FA"/>
    <w:rsid w:val="00060423"/>
    <w:rsid w:val="00061E34"/>
    <w:rsid w:val="00064040"/>
    <w:rsid w:val="00064F2E"/>
    <w:rsid w:val="0007759D"/>
    <w:rsid w:val="00082C31"/>
    <w:rsid w:val="000847F2"/>
    <w:rsid w:val="000A317D"/>
    <w:rsid w:val="000B3671"/>
    <w:rsid w:val="000B6FA2"/>
    <w:rsid w:val="000D1FEA"/>
    <w:rsid w:val="000D30BE"/>
    <w:rsid w:val="000E1119"/>
    <w:rsid w:val="000E767D"/>
    <w:rsid w:val="000F2485"/>
    <w:rsid w:val="00104E02"/>
    <w:rsid w:val="00106D28"/>
    <w:rsid w:val="0011362C"/>
    <w:rsid w:val="0011509B"/>
    <w:rsid w:val="00115933"/>
    <w:rsid w:val="00130EF5"/>
    <w:rsid w:val="001539A0"/>
    <w:rsid w:val="00163B10"/>
    <w:rsid w:val="00164525"/>
    <w:rsid w:val="00183CDE"/>
    <w:rsid w:val="0019434F"/>
    <w:rsid w:val="001A2CB1"/>
    <w:rsid w:val="001A4998"/>
    <w:rsid w:val="001B08C9"/>
    <w:rsid w:val="001B28E7"/>
    <w:rsid w:val="001B7D09"/>
    <w:rsid w:val="001C4230"/>
    <w:rsid w:val="001D1E88"/>
    <w:rsid w:val="001D359A"/>
    <w:rsid w:val="001F39AA"/>
    <w:rsid w:val="00203E48"/>
    <w:rsid w:val="00205D2D"/>
    <w:rsid w:val="0020772E"/>
    <w:rsid w:val="00224EB3"/>
    <w:rsid w:val="00224EF7"/>
    <w:rsid w:val="002277BA"/>
    <w:rsid w:val="0024457A"/>
    <w:rsid w:val="00250735"/>
    <w:rsid w:val="002541BD"/>
    <w:rsid w:val="00256155"/>
    <w:rsid w:val="00257BCB"/>
    <w:rsid w:val="00267C39"/>
    <w:rsid w:val="00275871"/>
    <w:rsid w:val="0028494B"/>
    <w:rsid w:val="0029475C"/>
    <w:rsid w:val="002A0398"/>
    <w:rsid w:val="002A1730"/>
    <w:rsid w:val="002A4C81"/>
    <w:rsid w:val="002B78CE"/>
    <w:rsid w:val="002C15DE"/>
    <w:rsid w:val="002C5319"/>
    <w:rsid w:val="002C6F4C"/>
    <w:rsid w:val="002E5F68"/>
    <w:rsid w:val="002E64B4"/>
    <w:rsid w:val="002F0595"/>
    <w:rsid w:val="003008EF"/>
    <w:rsid w:val="00307D6F"/>
    <w:rsid w:val="00307D9E"/>
    <w:rsid w:val="00317761"/>
    <w:rsid w:val="003311CF"/>
    <w:rsid w:val="00334B53"/>
    <w:rsid w:val="00336287"/>
    <w:rsid w:val="0034270E"/>
    <w:rsid w:val="00344904"/>
    <w:rsid w:val="00350948"/>
    <w:rsid w:val="003526C6"/>
    <w:rsid w:val="003673BF"/>
    <w:rsid w:val="00374CE5"/>
    <w:rsid w:val="00394985"/>
    <w:rsid w:val="003A13D9"/>
    <w:rsid w:val="003A682D"/>
    <w:rsid w:val="003E66A4"/>
    <w:rsid w:val="003E7F7D"/>
    <w:rsid w:val="003F1456"/>
    <w:rsid w:val="003F41E3"/>
    <w:rsid w:val="003F64EA"/>
    <w:rsid w:val="00405045"/>
    <w:rsid w:val="004068F8"/>
    <w:rsid w:val="004107DC"/>
    <w:rsid w:val="00414D95"/>
    <w:rsid w:val="00422A7B"/>
    <w:rsid w:val="00423368"/>
    <w:rsid w:val="00433658"/>
    <w:rsid w:val="00433FBF"/>
    <w:rsid w:val="00440246"/>
    <w:rsid w:val="00450AF9"/>
    <w:rsid w:val="0045459B"/>
    <w:rsid w:val="00454E49"/>
    <w:rsid w:val="00455382"/>
    <w:rsid w:val="004600BC"/>
    <w:rsid w:val="004602AE"/>
    <w:rsid w:val="004666EE"/>
    <w:rsid w:val="00466C49"/>
    <w:rsid w:val="004679B5"/>
    <w:rsid w:val="00470B65"/>
    <w:rsid w:val="00470C1D"/>
    <w:rsid w:val="004846A8"/>
    <w:rsid w:val="004935B2"/>
    <w:rsid w:val="0049782C"/>
    <w:rsid w:val="004B5887"/>
    <w:rsid w:val="004C10FC"/>
    <w:rsid w:val="004D4568"/>
    <w:rsid w:val="004D5171"/>
    <w:rsid w:val="004D74A1"/>
    <w:rsid w:val="004E1210"/>
    <w:rsid w:val="004E4567"/>
    <w:rsid w:val="004F1E37"/>
    <w:rsid w:val="004F2A79"/>
    <w:rsid w:val="004F4090"/>
    <w:rsid w:val="00507D84"/>
    <w:rsid w:val="00513ED3"/>
    <w:rsid w:val="00521FB6"/>
    <w:rsid w:val="0053178D"/>
    <w:rsid w:val="00531DBE"/>
    <w:rsid w:val="00533E43"/>
    <w:rsid w:val="00540065"/>
    <w:rsid w:val="005416DF"/>
    <w:rsid w:val="00542490"/>
    <w:rsid w:val="00545ABF"/>
    <w:rsid w:val="00545DE1"/>
    <w:rsid w:val="005502C4"/>
    <w:rsid w:val="00551CA9"/>
    <w:rsid w:val="00560F3A"/>
    <w:rsid w:val="005611E4"/>
    <w:rsid w:val="00590751"/>
    <w:rsid w:val="005B307C"/>
    <w:rsid w:val="005B4F48"/>
    <w:rsid w:val="005B54D6"/>
    <w:rsid w:val="005B5747"/>
    <w:rsid w:val="005B5F44"/>
    <w:rsid w:val="005D1AA7"/>
    <w:rsid w:val="005D1F17"/>
    <w:rsid w:val="005E6D2D"/>
    <w:rsid w:val="005F113E"/>
    <w:rsid w:val="005F64E4"/>
    <w:rsid w:val="006049E4"/>
    <w:rsid w:val="00610151"/>
    <w:rsid w:val="006112FE"/>
    <w:rsid w:val="006201F0"/>
    <w:rsid w:val="006253CE"/>
    <w:rsid w:val="00642351"/>
    <w:rsid w:val="00646D3A"/>
    <w:rsid w:val="006520C5"/>
    <w:rsid w:val="006544E1"/>
    <w:rsid w:val="006636CD"/>
    <w:rsid w:val="00686396"/>
    <w:rsid w:val="00690A03"/>
    <w:rsid w:val="006A2F11"/>
    <w:rsid w:val="006B7BAA"/>
    <w:rsid w:val="006C337B"/>
    <w:rsid w:val="006C7337"/>
    <w:rsid w:val="006D06B7"/>
    <w:rsid w:val="006F00A5"/>
    <w:rsid w:val="006F3683"/>
    <w:rsid w:val="006F3A2F"/>
    <w:rsid w:val="006F56C3"/>
    <w:rsid w:val="00700843"/>
    <w:rsid w:val="00707FFC"/>
    <w:rsid w:val="00712BFF"/>
    <w:rsid w:val="00713EF6"/>
    <w:rsid w:val="0071677C"/>
    <w:rsid w:val="00726208"/>
    <w:rsid w:val="00732778"/>
    <w:rsid w:val="00742FB7"/>
    <w:rsid w:val="007432CC"/>
    <w:rsid w:val="00751D9D"/>
    <w:rsid w:val="007754AE"/>
    <w:rsid w:val="0078494D"/>
    <w:rsid w:val="0079618F"/>
    <w:rsid w:val="00796523"/>
    <w:rsid w:val="00797738"/>
    <w:rsid w:val="007A248F"/>
    <w:rsid w:val="007B23EC"/>
    <w:rsid w:val="007B4A52"/>
    <w:rsid w:val="007C0C94"/>
    <w:rsid w:val="007C7065"/>
    <w:rsid w:val="007D37C7"/>
    <w:rsid w:val="007D7670"/>
    <w:rsid w:val="007E31DD"/>
    <w:rsid w:val="007E66C7"/>
    <w:rsid w:val="007E6D21"/>
    <w:rsid w:val="007F3758"/>
    <w:rsid w:val="008075E9"/>
    <w:rsid w:val="00811D7C"/>
    <w:rsid w:val="008133B4"/>
    <w:rsid w:val="00820375"/>
    <w:rsid w:val="008256DB"/>
    <w:rsid w:val="008330CC"/>
    <w:rsid w:val="00834D5A"/>
    <w:rsid w:val="008410D3"/>
    <w:rsid w:val="00842381"/>
    <w:rsid w:val="00845920"/>
    <w:rsid w:val="00861B21"/>
    <w:rsid w:val="00862F98"/>
    <w:rsid w:val="00863B0A"/>
    <w:rsid w:val="00874730"/>
    <w:rsid w:val="00880A32"/>
    <w:rsid w:val="0088454F"/>
    <w:rsid w:val="00891ACF"/>
    <w:rsid w:val="00897304"/>
    <w:rsid w:val="008B5F9E"/>
    <w:rsid w:val="008C1ED0"/>
    <w:rsid w:val="008C3B8E"/>
    <w:rsid w:val="008C53E2"/>
    <w:rsid w:val="008C62E6"/>
    <w:rsid w:val="008D7CBE"/>
    <w:rsid w:val="008F6A5F"/>
    <w:rsid w:val="00904315"/>
    <w:rsid w:val="00906E3D"/>
    <w:rsid w:val="0091556C"/>
    <w:rsid w:val="009240CE"/>
    <w:rsid w:val="0092475B"/>
    <w:rsid w:val="00925839"/>
    <w:rsid w:val="00931773"/>
    <w:rsid w:val="00931FBC"/>
    <w:rsid w:val="0095677F"/>
    <w:rsid w:val="00962ABF"/>
    <w:rsid w:val="009639CD"/>
    <w:rsid w:val="00966649"/>
    <w:rsid w:val="009758E3"/>
    <w:rsid w:val="00981F4E"/>
    <w:rsid w:val="00986D3A"/>
    <w:rsid w:val="009A174C"/>
    <w:rsid w:val="009A47EE"/>
    <w:rsid w:val="009B58A3"/>
    <w:rsid w:val="009B708A"/>
    <w:rsid w:val="009C1291"/>
    <w:rsid w:val="009C303F"/>
    <w:rsid w:val="009C33D5"/>
    <w:rsid w:val="009C3C46"/>
    <w:rsid w:val="009D26B9"/>
    <w:rsid w:val="009E0CB4"/>
    <w:rsid w:val="009E409F"/>
    <w:rsid w:val="009F1595"/>
    <w:rsid w:val="009F605C"/>
    <w:rsid w:val="009F7FAF"/>
    <w:rsid w:val="00A0063C"/>
    <w:rsid w:val="00A07B6D"/>
    <w:rsid w:val="00A14BA1"/>
    <w:rsid w:val="00A179E8"/>
    <w:rsid w:val="00A43823"/>
    <w:rsid w:val="00A45243"/>
    <w:rsid w:val="00A5031A"/>
    <w:rsid w:val="00A73223"/>
    <w:rsid w:val="00A829A5"/>
    <w:rsid w:val="00A8381B"/>
    <w:rsid w:val="00A93C6A"/>
    <w:rsid w:val="00A96DC5"/>
    <w:rsid w:val="00AA0A9F"/>
    <w:rsid w:val="00AB0711"/>
    <w:rsid w:val="00AB091F"/>
    <w:rsid w:val="00AB0ED9"/>
    <w:rsid w:val="00AB4EBE"/>
    <w:rsid w:val="00AB5110"/>
    <w:rsid w:val="00AB52BA"/>
    <w:rsid w:val="00AC591A"/>
    <w:rsid w:val="00AE1F65"/>
    <w:rsid w:val="00AE20AC"/>
    <w:rsid w:val="00AE2C41"/>
    <w:rsid w:val="00AF348D"/>
    <w:rsid w:val="00B00ACB"/>
    <w:rsid w:val="00B00FA2"/>
    <w:rsid w:val="00B057FE"/>
    <w:rsid w:val="00B14412"/>
    <w:rsid w:val="00B2051E"/>
    <w:rsid w:val="00B22301"/>
    <w:rsid w:val="00B33611"/>
    <w:rsid w:val="00B43487"/>
    <w:rsid w:val="00B47682"/>
    <w:rsid w:val="00B5477F"/>
    <w:rsid w:val="00B72609"/>
    <w:rsid w:val="00B72C8D"/>
    <w:rsid w:val="00B801F7"/>
    <w:rsid w:val="00B80A0A"/>
    <w:rsid w:val="00B81500"/>
    <w:rsid w:val="00B97D5B"/>
    <w:rsid w:val="00BA3FC4"/>
    <w:rsid w:val="00BA69D9"/>
    <w:rsid w:val="00BA6FE4"/>
    <w:rsid w:val="00BB0723"/>
    <w:rsid w:val="00BB2018"/>
    <w:rsid w:val="00BC06A8"/>
    <w:rsid w:val="00BC23E2"/>
    <w:rsid w:val="00BC4D8F"/>
    <w:rsid w:val="00BD7C19"/>
    <w:rsid w:val="00BE23DD"/>
    <w:rsid w:val="00BE42AB"/>
    <w:rsid w:val="00BE76D6"/>
    <w:rsid w:val="00BF46DD"/>
    <w:rsid w:val="00BF548E"/>
    <w:rsid w:val="00C1620C"/>
    <w:rsid w:val="00C21A22"/>
    <w:rsid w:val="00C37989"/>
    <w:rsid w:val="00C43931"/>
    <w:rsid w:val="00C547CE"/>
    <w:rsid w:val="00C64ED4"/>
    <w:rsid w:val="00C6560E"/>
    <w:rsid w:val="00C86E1C"/>
    <w:rsid w:val="00C91142"/>
    <w:rsid w:val="00C9342A"/>
    <w:rsid w:val="00C941F3"/>
    <w:rsid w:val="00CB0C56"/>
    <w:rsid w:val="00CC4BE5"/>
    <w:rsid w:val="00CC6036"/>
    <w:rsid w:val="00CC65D2"/>
    <w:rsid w:val="00CC6915"/>
    <w:rsid w:val="00CD4398"/>
    <w:rsid w:val="00CD73A6"/>
    <w:rsid w:val="00CE0EF0"/>
    <w:rsid w:val="00CE421A"/>
    <w:rsid w:val="00CF73F1"/>
    <w:rsid w:val="00CF7B16"/>
    <w:rsid w:val="00D02767"/>
    <w:rsid w:val="00D036F1"/>
    <w:rsid w:val="00D06303"/>
    <w:rsid w:val="00D1248B"/>
    <w:rsid w:val="00D12994"/>
    <w:rsid w:val="00D1519E"/>
    <w:rsid w:val="00D151D2"/>
    <w:rsid w:val="00D15E10"/>
    <w:rsid w:val="00D17B24"/>
    <w:rsid w:val="00D23764"/>
    <w:rsid w:val="00D23E24"/>
    <w:rsid w:val="00D30096"/>
    <w:rsid w:val="00D3547A"/>
    <w:rsid w:val="00D3644C"/>
    <w:rsid w:val="00D40616"/>
    <w:rsid w:val="00D44D30"/>
    <w:rsid w:val="00D468F0"/>
    <w:rsid w:val="00D80554"/>
    <w:rsid w:val="00D9155C"/>
    <w:rsid w:val="00D93837"/>
    <w:rsid w:val="00D97882"/>
    <w:rsid w:val="00D97DA1"/>
    <w:rsid w:val="00DA054F"/>
    <w:rsid w:val="00DC692B"/>
    <w:rsid w:val="00DD077A"/>
    <w:rsid w:val="00DD5C4B"/>
    <w:rsid w:val="00DD7D43"/>
    <w:rsid w:val="00DE3200"/>
    <w:rsid w:val="00E004E9"/>
    <w:rsid w:val="00E02256"/>
    <w:rsid w:val="00E0594C"/>
    <w:rsid w:val="00E149AC"/>
    <w:rsid w:val="00E15039"/>
    <w:rsid w:val="00E21962"/>
    <w:rsid w:val="00E325FA"/>
    <w:rsid w:val="00E36E18"/>
    <w:rsid w:val="00E40E24"/>
    <w:rsid w:val="00E43956"/>
    <w:rsid w:val="00E55503"/>
    <w:rsid w:val="00E572A3"/>
    <w:rsid w:val="00E623A1"/>
    <w:rsid w:val="00E7086F"/>
    <w:rsid w:val="00E73BE7"/>
    <w:rsid w:val="00E83287"/>
    <w:rsid w:val="00E96EA5"/>
    <w:rsid w:val="00EB4322"/>
    <w:rsid w:val="00EB504E"/>
    <w:rsid w:val="00EC1466"/>
    <w:rsid w:val="00ED06C5"/>
    <w:rsid w:val="00ED7B89"/>
    <w:rsid w:val="00EE217D"/>
    <w:rsid w:val="00EE6176"/>
    <w:rsid w:val="00EE65D9"/>
    <w:rsid w:val="00EE7B44"/>
    <w:rsid w:val="00EF5E64"/>
    <w:rsid w:val="00EF685D"/>
    <w:rsid w:val="00F03572"/>
    <w:rsid w:val="00F06205"/>
    <w:rsid w:val="00F160A0"/>
    <w:rsid w:val="00F16F47"/>
    <w:rsid w:val="00F22D76"/>
    <w:rsid w:val="00F23BC8"/>
    <w:rsid w:val="00F25B63"/>
    <w:rsid w:val="00F3355B"/>
    <w:rsid w:val="00F45A03"/>
    <w:rsid w:val="00F61572"/>
    <w:rsid w:val="00F65E33"/>
    <w:rsid w:val="00F67520"/>
    <w:rsid w:val="00F71A44"/>
    <w:rsid w:val="00F76773"/>
    <w:rsid w:val="00F76DCF"/>
    <w:rsid w:val="00F779D0"/>
    <w:rsid w:val="00F83D4D"/>
    <w:rsid w:val="00F95C51"/>
    <w:rsid w:val="00F961B8"/>
    <w:rsid w:val="00FB685C"/>
    <w:rsid w:val="00FC1FD9"/>
    <w:rsid w:val="00FC6F73"/>
    <w:rsid w:val="00FD2170"/>
    <w:rsid w:val="00FD5468"/>
    <w:rsid w:val="00FD6C2A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B243EA"/>
  <w15:docId w15:val="{CD9CEDD1-814F-4E7B-A94F-56E712F3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5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2">
    <w:name w:val="texto2"/>
    <w:basedOn w:val="Normal"/>
    <w:rsid w:val="00F6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TP&amp;docID=2874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f.jus.br/jurisprudencia/IT/frame.asp?classe=RE&amp;processo=422941&amp;origem=IT&amp;cod_classe=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Barbara do Carmo Neto</cp:lastModifiedBy>
  <cp:revision>2</cp:revision>
  <cp:lastPrinted>2019-07-23T14:13:00Z</cp:lastPrinted>
  <dcterms:created xsi:type="dcterms:W3CDTF">2020-08-26T13:37:00Z</dcterms:created>
  <dcterms:modified xsi:type="dcterms:W3CDTF">2020-08-26T13:37:00Z</dcterms:modified>
</cp:coreProperties>
</file>