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55326" w14:textId="77777777" w:rsidR="006A7997" w:rsidRDefault="006A7997" w:rsidP="006A7997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u w:val="single"/>
        </w:rPr>
      </w:pPr>
      <w:bookmarkStart w:id="0" w:name="_GoBack"/>
      <w:bookmarkEnd w:id="0"/>
      <w:r w:rsidRPr="00CD1E66">
        <w:rPr>
          <w:rFonts w:ascii="Times New Roman" w:eastAsia="Calibri" w:hAnsi="Times New Roman" w:cs="Times New Roman"/>
          <w:b/>
          <w:bCs/>
          <w:kern w:val="32"/>
          <w:u w:val="single"/>
        </w:rPr>
        <w:t>COMISSÃO DE CONSTITUIÇÃO, JUSTIÇA E CIDADANIA</w:t>
      </w:r>
    </w:p>
    <w:p w14:paraId="374BF020" w14:textId="2D8BD5A7" w:rsidR="006A7997" w:rsidRPr="00CD1E66" w:rsidRDefault="006A7997" w:rsidP="006A7997">
      <w:pPr>
        <w:keepNext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u w:val="single"/>
        </w:rPr>
      </w:pPr>
      <w:r w:rsidRPr="00CD1E66">
        <w:rPr>
          <w:rFonts w:ascii="Times New Roman" w:eastAsia="Calibri" w:hAnsi="Times New Roman" w:cs="Times New Roman"/>
          <w:b/>
          <w:bCs/>
          <w:iCs/>
          <w:u w:val="single"/>
        </w:rPr>
        <w:t xml:space="preserve">P A R E C E R Nº </w:t>
      </w:r>
      <w:r w:rsidR="00652660">
        <w:rPr>
          <w:rFonts w:ascii="Times New Roman" w:eastAsia="Calibri" w:hAnsi="Times New Roman" w:cs="Times New Roman"/>
          <w:b/>
          <w:bCs/>
          <w:iCs/>
          <w:u w:val="single"/>
        </w:rPr>
        <w:t>504</w:t>
      </w:r>
      <w:r>
        <w:rPr>
          <w:rFonts w:ascii="Times New Roman" w:eastAsia="Calibri" w:hAnsi="Times New Roman" w:cs="Times New Roman"/>
          <w:b/>
          <w:bCs/>
          <w:iCs/>
          <w:u w:val="single"/>
        </w:rPr>
        <w:t xml:space="preserve"> </w:t>
      </w:r>
      <w:r w:rsidRPr="00CD1E66">
        <w:rPr>
          <w:rFonts w:ascii="Times New Roman" w:eastAsia="Calibri" w:hAnsi="Times New Roman" w:cs="Times New Roman"/>
          <w:b/>
          <w:bCs/>
          <w:iCs/>
          <w:u w:val="single"/>
        </w:rPr>
        <w:t>/20</w:t>
      </w:r>
      <w:r>
        <w:rPr>
          <w:rFonts w:ascii="Times New Roman" w:eastAsia="Calibri" w:hAnsi="Times New Roman" w:cs="Times New Roman"/>
          <w:b/>
          <w:bCs/>
          <w:iCs/>
          <w:u w:val="single"/>
        </w:rPr>
        <w:t>20</w:t>
      </w:r>
    </w:p>
    <w:p w14:paraId="6EBE6680" w14:textId="77777777" w:rsidR="00CC6955" w:rsidRDefault="00CC6955" w:rsidP="006A79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7747D5D6" w14:textId="70AB17D6" w:rsidR="006A7997" w:rsidRPr="00CD1E66" w:rsidRDefault="006A7997" w:rsidP="006A79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D1E66">
        <w:rPr>
          <w:rFonts w:ascii="Times New Roman" w:hAnsi="Times New Roman" w:cs="Times New Roman"/>
          <w:b/>
          <w:color w:val="000000" w:themeColor="text1"/>
          <w:u w:val="single"/>
        </w:rPr>
        <w:t>RELATÓRIO:</w:t>
      </w:r>
    </w:p>
    <w:p w14:paraId="19E36742" w14:textId="77777777" w:rsidR="006A7997" w:rsidRPr="00CD1E66" w:rsidRDefault="006A7997" w:rsidP="006A79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2561754C" w14:textId="198BF092" w:rsidR="006A7997" w:rsidRDefault="006A7997" w:rsidP="006A7997">
      <w:pPr>
        <w:autoSpaceDE w:val="0"/>
        <w:autoSpaceDN w:val="0"/>
        <w:adjustRightInd w:val="0"/>
        <w:spacing w:after="0" w:line="360" w:lineRule="auto"/>
        <w:ind w:firstLine="1134"/>
        <w:jc w:val="both"/>
      </w:pPr>
      <w:r w:rsidRPr="00CD1E66">
        <w:rPr>
          <w:rFonts w:ascii="Times New Roman" w:hAnsi="Times New Roman" w:cs="Times New Roman"/>
          <w:color w:val="000000" w:themeColor="text1"/>
        </w:rPr>
        <w:t xml:space="preserve">Cuida-se da </w:t>
      </w:r>
      <w:r w:rsidRPr="00CD1E66">
        <w:rPr>
          <w:rFonts w:ascii="Times New Roman" w:hAnsi="Times New Roman" w:cs="Times New Roman"/>
          <w:b/>
          <w:color w:val="000000" w:themeColor="text1"/>
        </w:rPr>
        <w:t xml:space="preserve">análise de constitucionalidade, juridicidade, legalidade e técnica legislativa </w:t>
      </w:r>
      <w:r w:rsidRPr="00CD1E66">
        <w:rPr>
          <w:rFonts w:ascii="Times New Roman" w:hAnsi="Times New Roman" w:cs="Times New Roman"/>
          <w:color w:val="000000" w:themeColor="text1"/>
        </w:rPr>
        <w:t xml:space="preserve">do </w:t>
      </w:r>
      <w:r w:rsidRPr="00CD1E66">
        <w:rPr>
          <w:rFonts w:ascii="Times New Roman" w:hAnsi="Times New Roman" w:cs="Times New Roman"/>
          <w:b/>
          <w:iCs/>
          <w:color w:val="000000" w:themeColor="text1"/>
        </w:rPr>
        <w:t xml:space="preserve">Projeto de Lei nº </w:t>
      </w:r>
      <w:r>
        <w:rPr>
          <w:rFonts w:ascii="Times New Roman" w:hAnsi="Times New Roman" w:cs="Times New Roman"/>
          <w:b/>
          <w:iCs/>
          <w:color w:val="000000" w:themeColor="text1"/>
        </w:rPr>
        <w:t>080/2020</w:t>
      </w:r>
      <w:r w:rsidRPr="00CD1E66">
        <w:rPr>
          <w:rFonts w:ascii="Times New Roman" w:hAnsi="Times New Roman" w:cs="Times New Roman"/>
          <w:iCs/>
          <w:color w:val="000000" w:themeColor="text1"/>
        </w:rPr>
        <w:t xml:space="preserve">, de autoria do Senhor Deputado </w:t>
      </w:r>
      <w:r>
        <w:rPr>
          <w:rFonts w:ascii="Times New Roman" w:hAnsi="Times New Roman" w:cs="Times New Roman"/>
          <w:iCs/>
          <w:color w:val="000000" w:themeColor="text1"/>
        </w:rPr>
        <w:t xml:space="preserve">Doutor 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Yglésio</w:t>
      </w:r>
      <w:proofErr w:type="spellEnd"/>
      <w:r w:rsidRPr="00CD1E66">
        <w:rPr>
          <w:rFonts w:ascii="Times New Roman" w:hAnsi="Times New Roman" w:cs="Times New Roman"/>
          <w:iCs/>
          <w:color w:val="000000" w:themeColor="text1"/>
        </w:rPr>
        <w:t xml:space="preserve">, que </w:t>
      </w:r>
      <w:r w:rsidR="00652660">
        <w:rPr>
          <w:rFonts w:ascii="Times New Roman" w:hAnsi="Times New Roman" w:cs="Times New Roman"/>
          <w:iCs/>
          <w:color w:val="000000" w:themeColor="text1"/>
        </w:rPr>
        <w:t>d</w:t>
      </w:r>
      <w:r w:rsidRPr="006A7997">
        <w:rPr>
          <w:rFonts w:ascii="Times New Roman" w:hAnsi="Times New Roman" w:cs="Times New Roman"/>
        </w:rPr>
        <w:t xml:space="preserve">ispõe sobre as modificações e revisões de negócios jurídicos vigentes em período de calamidade pública, regidos pelo </w:t>
      </w:r>
      <w:r>
        <w:rPr>
          <w:rFonts w:ascii="Times New Roman" w:hAnsi="Times New Roman" w:cs="Times New Roman"/>
        </w:rPr>
        <w:t>C</w:t>
      </w:r>
      <w:r w:rsidRPr="006A7997">
        <w:rPr>
          <w:rFonts w:ascii="Times New Roman" w:hAnsi="Times New Roman" w:cs="Times New Roman"/>
        </w:rPr>
        <w:t xml:space="preserve">ódigo de </w:t>
      </w:r>
      <w:r>
        <w:rPr>
          <w:rFonts w:ascii="Times New Roman" w:hAnsi="Times New Roman" w:cs="Times New Roman"/>
        </w:rPr>
        <w:t>D</w:t>
      </w:r>
      <w:r w:rsidRPr="006A7997">
        <w:rPr>
          <w:rFonts w:ascii="Times New Roman" w:hAnsi="Times New Roman" w:cs="Times New Roman"/>
        </w:rPr>
        <w:t xml:space="preserve">efesa do </w:t>
      </w:r>
      <w:r>
        <w:rPr>
          <w:rFonts w:ascii="Times New Roman" w:hAnsi="Times New Roman" w:cs="Times New Roman"/>
        </w:rPr>
        <w:t>C</w:t>
      </w:r>
      <w:r w:rsidRPr="006A7997">
        <w:rPr>
          <w:rFonts w:ascii="Times New Roman" w:hAnsi="Times New Roman" w:cs="Times New Roman"/>
        </w:rPr>
        <w:t>onsumidor.</w:t>
      </w:r>
    </w:p>
    <w:p w14:paraId="5EEECFCF" w14:textId="0D55C159" w:rsidR="006A7997" w:rsidRDefault="006A7997" w:rsidP="006A799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t xml:space="preserve">Nos termos do </w:t>
      </w:r>
      <w:r w:rsidR="00652660">
        <w:rPr>
          <w:rFonts w:ascii="Times New Roman" w:hAnsi="Times New Roman" w:cs="Times New Roman"/>
          <w:iCs/>
          <w:color w:val="000000" w:themeColor="text1"/>
        </w:rPr>
        <w:t>P</w:t>
      </w:r>
      <w:r>
        <w:rPr>
          <w:rFonts w:ascii="Times New Roman" w:hAnsi="Times New Roman" w:cs="Times New Roman"/>
          <w:iCs/>
          <w:color w:val="000000" w:themeColor="text1"/>
        </w:rPr>
        <w:t xml:space="preserve">rojeto de </w:t>
      </w:r>
      <w:r w:rsidR="00652660">
        <w:rPr>
          <w:rFonts w:ascii="Times New Roman" w:hAnsi="Times New Roman" w:cs="Times New Roman"/>
          <w:iCs/>
          <w:color w:val="000000" w:themeColor="text1"/>
        </w:rPr>
        <w:t>L</w:t>
      </w:r>
      <w:r>
        <w:rPr>
          <w:rFonts w:ascii="Times New Roman" w:hAnsi="Times New Roman" w:cs="Times New Roman"/>
          <w:iCs/>
          <w:color w:val="000000" w:themeColor="text1"/>
        </w:rPr>
        <w:t>ei em epígrafe, o</w:t>
      </w:r>
      <w:r w:rsidRPr="006A7997">
        <w:rPr>
          <w:rFonts w:ascii="Times New Roman" w:hAnsi="Times New Roman" w:cs="Times New Roman"/>
        </w:rPr>
        <w:t xml:space="preserve">s negócios jurídicos regidos pelo Código de Defesa do Consumidor em vigor no período de vigência do Decreto nº 35.677 de 2020 no âmbito do Estado do Maranhão, deverão </w:t>
      </w:r>
      <w:r w:rsidRPr="006A7997">
        <w:rPr>
          <w:rFonts w:ascii="Times New Roman" w:hAnsi="Times New Roman" w:cs="Times New Roman"/>
          <w:b/>
          <w:bCs/>
        </w:rPr>
        <w:t>suportar as modificações ou revisões de suas cláusulas em razão dos fatos supervenientes que os tornem excessivamente onerosos</w:t>
      </w:r>
      <w:r w:rsidRPr="006A7997">
        <w:rPr>
          <w:rFonts w:ascii="Times New Roman" w:hAnsi="Times New Roman" w:cs="Times New Roman"/>
        </w:rPr>
        <w:t>, desde que haja solicitação do convenente extraordinariamente onerado à pessoa física ou jurídica com quem contratou.</w:t>
      </w:r>
    </w:p>
    <w:p w14:paraId="0AA71497" w14:textId="2D0B2A8F" w:rsidR="006A7997" w:rsidRDefault="006A7997" w:rsidP="006A799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t xml:space="preserve">Como podemos observar, a propositura de Lei, consubstancia cláusula inserta nos contratos particulares, </w:t>
      </w:r>
      <w:r w:rsidRPr="00085C92">
        <w:rPr>
          <w:rFonts w:ascii="Times New Roman" w:hAnsi="Times New Roman" w:cs="Times New Roman"/>
          <w:iCs/>
          <w:color w:val="000000" w:themeColor="text1"/>
        </w:rPr>
        <w:t>matéria regulada pelo Direito Civil</w:t>
      </w:r>
      <w:r>
        <w:rPr>
          <w:rFonts w:ascii="Times New Roman" w:hAnsi="Times New Roman" w:cs="Times New Roman"/>
          <w:iCs/>
          <w:color w:val="000000" w:themeColor="text1"/>
        </w:rPr>
        <w:t xml:space="preserve"> e assevera absoluta incompetência do Estado para legislar sobre a matéria constante do projeto de lei sob exame, eis que a Constituição Federal conferiu essa competência exclusivamente à União.  </w:t>
      </w:r>
    </w:p>
    <w:p w14:paraId="46CD96E8" w14:textId="1032DAB7" w:rsidR="006A7997" w:rsidRPr="00CD1E66" w:rsidRDefault="006A7997" w:rsidP="006A799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t>Com efeito, a CF/88</w:t>
      </w:r>
      <w:r w:rsidR="00652660">
        <w:rPr>
          <w:rFonts w:ascii="Times New Roman" w:hAnsi="Times New Roman" w:cs="Times New Roman"/>
          <w:iCs/>
          <w:color w:val="000000" w:themeColor="text1"/>
        </w:rPr>
        <w:t>,</w:t>
      </w:r>
      <w:r>
        <w:rPr>
          <w:rFonts w:ascii="Times New Roman" w:hAnsi="Times New Roman" w:cs="Times New Roman"/>
          <w:iCs/>
          <w:color w:val="000000" w:themeColor="text1"/>
        </w:rPr>
        <w:t xml:space="preserve"> é clara ao estabelecer como competência privativa da União legislar sobre Direito Civil</w:t>
      </w:r>
      <w:r w:rsidRPr="00085C92">
        <w:rPr>
          <w:rFonts w:ascii="Times New Roman" w:hAnsi="Times New Roman" w:cs="Times New Roman"/>
          <w:iCs/>
          <w:color w:val="000000" w:themeColor="text1"/>
        </w:rPr>
        <w:t>, conforme preceitua o artigo 22, inciso I</w:t>
      </w:r>
      <w:r>
        <w:rPr>
          <w:rFonts w:ascii="Times New Roman" w:hAnsi="Times New Roman" w:cs="Times New Roman"/>
          <w:iCs/>
          <w:color w:val="000000" w:themeColor="text1"/>
        </w:rPr>
        <w:t xml:space="preserve">. Assim, a proposição de </w:t>
      </w:r>
      <w:r w:rsidR="00652660">
        <w:rPr>
          <w:rFonts w:ascii="Times New Roman" w:hAnsi="Times New Roman" w:cs="Times New Roman"/>
          <w:iCs/>
          <w:color w:val="000000" w:themeColor="text1"/>
        </w:rPr>
        <w:t>L</w:t>
      </w:r>
      <w:r>
        <w:rPr>
          <w:rFonts w:ascii="Times New Roman" w:hAnsi="Times New Roman" w:cs="Times New Roman"/>
          <w:iCs/>
          <w:color w:val="000000" w:themeColor="text1"/>
        </w:rPr>
        <w:t xml:space="preserve">ei </w:t>
      </w:r>
      <w:r w:rsidR="00652660">
        <w:rPr>
          <w:rFonts w:ascii="Times New Roman" w:hAnsi="Times New Roman" w:cs="Times New Roman"/>
          <w:iCs/>
          <w:color w:val="000000" w:themeColor="text1"/>
        </w:rPr>
        <w:t>E</w:t>
      </w:r>
      <w:r>
        <w:rPr>
          <w:rFonts w:ascii="Times New Roman" w:hAnsi="Times New Roman" w:cs="Times New Roman"/>
          <w:iCs/>
          <w:color w:val="000000" w:themeColor="text1"/>
        </w:rPr>
        <w:t xml:space="preserve">stadual, ao tratar do tema relacionado com Direito das Obrigações – </w:t>
      </w:r>
      <w:r w:rsidRPr="006F3147">
        <w:rPr>
          <w:rFonts w:ascii="Times New Roman" w:hAnsi="Times New Roman" w:cs="Times New Roman"/>
          <w:b/>
          <w:bCs/>
          <w:iCs/>
          <w:color w:val="000000" w:themeColor="text1"/>
        </w:rPr>
        <w:t>Contratos</w:t>
      </w:r>
      <w:r>
        <w:rPr>
          <w:rFonts w:ascii="Times New Roman" w:hAnsi="Times New Roman" w:cs="Times New Roman"/>
          <w:iCs/>
          <w:color w:val="000000" w:themeColor="text1"/>
        </w:rPr>
        <w:t xml:space="preserve"> – interfere abertamente nestes, no mínimo cuidou de matéria cuja competência legislativa é exclusiva da União, </w:t>
      </w:r>
      <w:r w:rsidRPr="00652660">
        <w:rPr>
          <w:rFonts w:ascii="Times New Roman" w:hAnsi="Times New Roman" w:cs="Times New Roman"/>
          <w:i/>
          <w:iCs/>
          <w:color w:val="000000" w:themeColor="text1"/>
        </w:rPr>
        <w:t>senão vejamos</w:t>
      </w:r>
      <w:r>
        <w:rPr>
          <w:rFonts w:ascii="Times New Roman" w:hAnsi="Times New Roman" w:cs="Times New Roman"/>
          <w:iCs/>
          <w:color w:val="000000" w:themeColor="text1"/>
        </w:rPr>
        <w:t>:</w:t>
      </w:r>
    </w:p>
    <w:p w14:paraId="58232902" w14:textId="77777777" w:rsidR="006A7997" w:rsidRPr="00CD1E66" w:rsidRDefault="006A7997" w:rsidP="006A7997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color w:val="000000" w:themeColor="text1"/>
        </w:rPr>
      </w:pPr>
      <w:r w:rsidRPr="00CD1E66">
        <w:rPr>
          <w:rFonts w:ascii="Times New Roman" w:hAnsi="Times New Roman" w:cs="Times New Roman"/>
          <w:b/>
          <w:color w:val="000000" w:themeColor="text1"/>
        </w:rPr>
        <w:t>Art. 22.</w:t>
      </w:r>
      <w:r w:rsidRPr="00CD1E66">
        <w:rPr>
          <w:rFonts w:ascii="Times New Roman" w:hAnsi="Times New Roman" w:cs="Times New Roman"/>
          <w:color w:val="000000" w:themeColor="text1"/>
        </w:rPr>
        <w:t xml:space="preserve"> Compete </w:t>
      </w:r>
      <w:r w:rsidRPr="00CD1E66">
        <w:rPr>
          <w:rFonts w:ascii="Times New Roman" w:hAnsi="Times New Roman" w:cs="Times New Roman"/>
          <w:b/>
          <w:color w:val="000000" w:themeColor="text1"/>
        </w:rPr>
        <w:t>privativamente à União legislar</w:t>
      </w:r>
      <w:r w:rsidRPr="00CD1E66">
        <w:rPr>
          <w:rFonts w:ascii="Times New Roman" w:hAnsi="Times New Roman" w:cs="Times New Roman"/>
          <w:color w:val="000000" w:themeColor="text1"/>
        </w:rPr>
        <w:t xml:space="preserve"> sobre:</w:t>
      </w:r>
    </w:p>
    <w:p w14:paraId="57E90CB0" w14:textId="2F46E91C" w:rsidR="006A7997" w:rsidRPr="00CD1E66" w:rsidRDefault="006A7997" w:rsidP="006A7997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color w:val="000000" w:themeColor="text1"/>
        </w:rPr>
      </w:pPr>
      <w:r w:rsidRPr="00CD1E66">
        <w:rPr>
          <w:rFonts w:ascii="Times New Roman" w:hAnsi="Times New Roman" w:cs="Times New Roman"/>
          <w:color w:val="000000" w:themeColor="text1"/>
        </w:rPr>
        <w:t xml:space="preserve">I </w:t>
      </w:r>
      <w:r w:rsidR="00652660">
        <w:rPr>
          <w:rFonts w:ascii="Times New Roman" w:hAnsi="Times New Roman" w:cs="Times New Roman"/>
          <w:color w:val="000000" w:themeColor="text1"/>
        </w:rPr>
        <w:t>–</w:t>
      </w:r>
      <w:r w:rsidRPr="00CD1E66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CD1E66">
        <w:rPr>
          <w:rFonts w:ascii="Times New Roman" w:hAnsi="Times New Roman" w:cs="Times New Roman"/>
          <w:b/>
          <w:color w:val="000000" w:themeColor="text1"/>
        </w:rPr>
        <w:t>direito</w:t>
      </w:r>
      <w:proofErr w:type="gramEnd"/>
      <w:r w:rsidR="0065266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D1E66">
        <w:rPr>
          <w:rFonts w:ascii="Times New Roman" w:hAnsi="Times New Roman" w:cs="Times New Roman"/>
          <w:b/>
          <w:color w:val="000000" w:themeColor="text1"/>
        </w:rPr>
        <w:t xml:space="preserve">civil, </w:t>
      </w:r>
      <w:r w:rsidRPr="006F3147">
        <w:rPr>
          <w:rFonts w:ascii="Times New Roman" w:hAnsi="Times New Roman" w:cs="Times New Roman"/>
          <w:bCs/>
          <w:color w:val="000000" w:themeColor="text1"/>
        </w:rPr>
        <w:t>comercial,</w:t>
      </w:r>
      <w:r w:rsidRPr="00CD1E66">
        <w:rPr>
          <w:rFonts w:ascii="Times New Roman" w:hAnsi="Times New Roman" w:cs="Times New Roman"/>
          <w:color w:val="000000" w:themeColor="text1"/>
        </w:rPr>
        <w:t xml:space="preserve"> penal, processual, eleitoral, agrário, marítimo, aeronáutico, espacial e do trabalho;</w:t>
      </w:r>
    </w:p>
    <w:p w14:paraId="55A7E315" w14:textId="169E973C" w:rsidR="006A7997" w:rsidRPr="00CD1E66" w:rsidRDefault="006A7997" w:rsidP="00CC6955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A Jurisprudência do Supremo Tribunal Federal é pacífica, </w:t>
      </w:r>
      <w:r w:rsidRPr="00CD1E66">
        <w:rPr>
          <w:rFonts w:ascii="Times New Roman" w:hAnsi="Times New Roman" w:cs="Times New Roman"/>
          <w:b/>
          <w:color w:val="000000" w:themeColor="text1"/>
          <w:u w:val="single"/>
        </w:rPr>
        <w:t>assim se manifestou:</w:t>
      </w:r>
      <w:r w:rsidR="00CC6955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Pr="00CD1E66">
        <w:rPr>
          <w:rFonts w:ascii="Times New Roman" w:hAnsi="Times New Roman" w:cs="Times New Roman"/>
          <w:color w:val="000000" w:themeColor="text1"/>
        </w:rPr>
        <w:t xml:space="preserve">Estacionamento de veículos em áreas particulares. </w:t>
      </w:r>
      <w:r w:rsidRPr="00745B0D">
        <w:rPr>
          <w:rFonts w:ascii="Times New Roman" w:hAnsi="Times New Roman" w:cs="Times New Roman"/>
          <w:b/>
          <w:bCs/>
          <w:color w:val="000000" w:themeColor="text1"/>
        </w:rPr>
        <w:t>Lei estadual que limita o valor das quantias cobradas pelo seu uso. Direito Civil.</w:t>
      </w:r>
      <w:r w:rsidRPr="00CD1E66">
        <w:rPr>
          <w:rFonts w:ascii="Times New Roman" w:hAnsi="Times New Roman" w:cs="Times New Roman"/>
          <w:color w:val="000000" w:themeColor="text1"/>
        </w:rPr>
        <w:t xml:space="preserve"> </w:t>
      </w:r>
      <w:r w:rsidRPr="00CD1E66">
        <w:rPr>
          <w:rFonts w:ascii="Times New Roman" w:hAnsi="Times New Roman" w:cs="Times New Roman"/>
          <w:b/>
          <w:color w:val="000000" w:themeColor="text1"/>
        </w:rPr>
        <w:t>Invasão de competência privativa da União. Hipótese de inconstitucionalidade formal por invasão de competência privativa da União para legislar sobre Direito Civil</w:t>
      </w:r>
      <w:r w:rsidRPr="00CD1E66">
        <w:rPr>
          <w:rFonts w:ascii="Times New Roman" w:hAnsi="Times New Roman" w:cs="Times New Roman"/>
          <w:color w:val="000000" w:themeColor="text1"/>
        </w:rPr>
        <w:t xml:space="preserve"> (CF, art. 22, I). Enquanto a União regula o direito de propriedade e estabelece as regras substantivas de intervenção no domínio econômico, os outros níveis de governo </w:t>
      </w:r>
      <w:r w:rsidRPr="00CD1E66">
        <w:rPr>
          <w:rFonts w:ascii="Times New Roman" w:hAnsi="Times New Roman" w:cs="Times New Roman"/>
          <w:color w:val="000000" w:themeColor="text1"/>
          <w:u w:val="single"/>
        </w:rPr>
        <w:t>apenas exercem o policiamento administrativo do uso da propriedade e da atividade econômica dos particulares</w:t>
      </w:r>
      <w:r w:rsidRPr="00CD1E66">
        <w:rPr>
          <w:rFonts w:ascii="Times New Roman" w:hAnsi="Times New Roman" w:cs="Times New Roman"/>
          <w:color w:val="000000" w:themeColor="text1"/>
        </w:rPr>
        <w:t>, tendo em vista, sempre, as normas substantivas editadas pela União. [ADI 1.918, rel. min. Maurício Corrêa, j. 23-</w:t>
      </w:r>
      <w:r w:rsidRPr="00CD1E66">
        <w:rPr>
          <w:rFonts w:ascii="Times New Roman" w:hAnsi="Times New Roman" w:cs="Times New Roman"/>
          <w:color w:val="000000" w:themeColor="text1"/>
        </w:rPr>
        <w:lastRenderedPageBreak/>
        <w:t>8-2001, P, DJ de 1º-8-2003.] = ADI 2.448, rel. min. Sydney Sanches, j. 23-4-2003, P, DJ de 13-6-2003 = ADI 4.862, rel. min. Gilmar Mendes, j. 18-8-2016, P, DJE de 7-2-2017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4BF707A" w14:textId="345509BA" w:rsidR="006A7997" w:rsidRDefault="006A7997" w:rsidP="006A799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Assim sendo, a matéria tratada na proposição de Lei viola iniciativa privativa da União por versar sobre matéria de direito civil, já que trata de contratos e</w:t>
      </w:r>
      <w:r w:rsidR="00652660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por conseguinte, viola os princípios constitucionais do livre exercício da atividade econômica e da livre iniciativa, previstos no parágrafo único, do art. 170, da CF/88. </w:t>
      </w:r>
    </w:p>
    <w:p w14:paraId="5F4AB59C" w14:textId="2B102D2C" w:rsidR="006A7997" w:rsidRPr="00652660" w:rsidRDefault="006A7997" w:rsidP="006A7997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</w:rPr>
      </w:pPr>
      <w:r w:rsidRPr="00AE1446">
        <w:rPr>
          <w:rFonts w:ascii="Times New Roman" w:hAnsi="Times New Roman" w:cs="Times New Roman"/>
        </w:rPr>
        <w:t xml:space="preserve">Ora, a ordem econômica consagrada pela Carta da República dá proteção aos princípios da livre concorrência, da </w:t>
      </w:r>
      <w:r w:rsidRPr="00031DF7">
        <w:rPr>
          <w:rFonts w:ascii="Times New Roman" w:hAnsi="Times New Roman" w:cs="Times New Roman"/>
          <w:b/>
          <w:bCs/>
        </w:rPr>
        <w:t>defesa do consumidor</w:t>
      </w:r>
      <w:r w:rsidRPr="00AE1446">
        <w:rPr>
          <w:rFonts w:ascii="Times New Roman" w:hAnsi="Times New Roman" w:cs="Times New Roman"/>
        </w:rPr>
        <w:t xml:space="preserve"> e da liberdade do exercício das atividades econômicas.</w:t>
      </w:r>
      <w:r>
        <w:rPr>
          <w:rFonts w:ascii="Times New Roman" w:hAnsi="Times New Roman" w:cs="Times New Roman"/>
        </w:rPr>
        <w:t xml:space="preserve"> Essas circunstâncias, à primeira vista, conduziriam à conclusão de que o Estado-membro detém competência concorrente para legislar sobre a matéria em análise, a teor do que dispõe o artigo 24, inciso VIII</w:t>
      </w:r>
      <w:r w:rsidR="00CC695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 CF/88, que determina: “</w:t>
      </w:r>
      <w:r w:rsidRPr="00652660">
        <w:rPr>
          <w:rFonts w:ascii="Times New Roman" w:hAnsi="Times New Roman" w:cs="Times New Roman"/>
          <w:i/>
        </w:rPr>
        <w:t xml:space="preserve">Compete à União, aos Estados e ao Distrito Federal legislar concorrentemente sobre: VIII - responsabilidade por dano ao meio ambiente, </w:t>
      </w:r>
      <w:r w:rsidRPr="00CC6955">
        <w:rPr>
          <w:rFonts w:ascii="Times New Roman" w:hAnsi="Times New Roman" w:cs="Times New Roman"/>
          <w:b/>
          <w:bCs/>
          <w:i/>
          <w:u w:val="single"/>
        </w:rPr>
        <w:t>ao consumidor</w:t>
      </w:r>
      <w:r w:rsidRPr="00652660">
        <w:rPr>
          <w:rFonts w:ascii="Times New Roman" w:hAnsi="Times New Roman" w:cs="Times New Roman"/>
          <w:i/>
        </w:rPr>
        <w:t xml:space="preserve">, a bens e direitos de valor artístico, estético, histórico, turístico e paisagístico; </w:t>
      </w:r>
    </w:p>
    <w:p w14:paraId="502611D7" w14:textId="4336EC11" w:rsidR="006A7997" w:rsidRPr="005A1768" w:rsidRDefault="006A7997" w:rsidP="006A7997">
      <w:pPr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Ocorre, todavia, que no caso em espécie se cuida da ordenação normativa de </w:t>
      </w:r>
      <w:r w:rsidRPr="00D176CD">
        <w:rPr>
          <w:rFonts w:ascii="Times New Roman" w:hAnsi="Times New Roman" w:cs="Times New Roman"/>
          <w:b/>
          <w:bCs/>
        </w:rPr>
        <w:t>relações contratuais</w:t>
      </w:r>
      <w:r>
        <w:rPr>
          <w:rFonts w:ascii="Times New Roman" w:hAnsi="Times New Roman" w:cs="Times New Roman"/>
        </w:rPr>
        <w:t>, tema de Direito Civil, à União cabendo sobre ele legislar. Os preceitos tratam, tão-somente, de</w:t>
      </w:r>
      <w:r w:rsidR="009252FB">
        <w:rPr>
          <w:rFonts w:ascii="Times New Roman" w:hAnsi="Times New Roman" w:cs="Times New Roman"/>
        </w:rPr>
        <w:t xml:space="preserve"> </w:t>
      </w:r>
      <w:r w:rsidR="009252FB" w:rsidRPr="006A7997">
        <w:rPr>
          <w:rFonts w:ascii="Times New Roman" w:hAnsi="Times New Roman" w:cs="Times New Roman"/>
          <w:b/>
          <w:bCs/>
        </w:rPr>
        <w:t>modificações ou revisões de cláusulas</w:t>
      </w:r>
      <w:r w:rsidR="009252FB">
        <w:rPr>
          <w:rFonts w:ascii="Times New Roman" w:hAnsi="Times New Roman" w:cs="Times New Roman"/>
          <w:b/>
          <w:bCs/>
        </w:rPr>
        <w:t xml:space="preserve"> contratuais</w:t>
      </w:r>
      <w:r>
        <w:rPr>
          <w:rFonts w:ascii="Times New Roman" w:hAnsi="Times New Roman" w:cs="Times New Roman"/>
        </w:rPr>
        <w:t>, matéria de Direito C</w:t>
      </w:r>
      <w:r w:rsidR="009252FB">
        <w:rPr>
          <w:rFonts w:ascii="Times New Roman" w:hAnsi="Times New Roman" w:cs="Times New Roman"/>
        </w:rPr>
        <w:t>ivil</w:t>
      </w:r>
      <w:r>
        <w:rPr>
          <w:rFonts w:ascii="Times New Roman" w:hAnsi="Times New Roman" w:cs="Times New Roman"/>
        </w:rPr>
        <w:t xml:space="preserve">. </w:t>
      </w:r>
    </w:p>
    <w:p w14:paraId="5F873BB9" w14:textId="66BEB2B5" w:rsidR="006A7997" w:rsidRDefault="006A7997" w:rsidP="006A7997">
      <w:pPr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Ante essas circunstâncias, e visto que a propositura de </w:t>
      </w:r>
      <w:r w:rsidR="00652660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ei </w:t>
      </w:r>
      <w:r w:rsidR="0065266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stadual não está em consonância com a Constituição Federal, opinamos pela rejeição da matéria, por inconstitucionalidade formal. </w:t>
      </w:r>
    </w:p>
    <w:p w14:paraId="4E52801F" w14:textId="77777777" w:rsidR="006304CD" w:rsidRDefault="006304CD" w:rsidP="006A7997">
      <w:pPr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</w:p>
    <w:p w14:paraId="620B0125" w14:textId="07CC93E5" w:rsidR="006A7997" w:rsidRPr="00AE1446" w:rsidRDefault="006A7997" w:rsidP="006A7997">
      <w:pPr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AE1446">
        <w:rPr>
          <w:rFonts w:ascii="Times New Roman" w:hAnsi="Times New Roman" w:cs="Times New Roman"/>
        </w:rPr>
        <w:t xml:space="preserve"> </w:t>
      </w:r>
    </w:p>
    <w:p w14:paraId="5B37D995" w14:textId="77777777" w:rsidR="006A7997" w:rsidRPr="00D32061" w:rsidRDefault="006A7997" w:rsidP="006A7997">
      <w:pPr>
        <w:jc w:val="both"/>
        <w:rPr>
          <w:rFonts w:ascii="Times New Roman" w:hAnsi="Times New Roman" w:cs="Times New Roman"/>
          <w:b/>
          <w:u w:val="single"/>
        </w:rPr>
      </w:pPr>
      <w:r w:rsidRPr="00D32061">
        <w:rPr>
          <w:rFonts w:ascii="Times New Roman" w:hAnsi="Times New Roman" w:cs="Times New Roman"/>
          <w:b/>
          <w:u w:val="single"/>
        </w:rPr>
        <w:t>VOTO DO RELATOR:</w:t>
      </w:r>
    </w:p>
    <w:p w14:paraId="08A30D9D" w14:textId="0C9DBB58" w:rsidR="006A7997" w:rsidRPr="004D3146" w:rsidRDefault="006A7997" w:rsidP="006A7997">
      <w:pPr>
        <w:pStyle w:val="Recuodecorpodetexto"/>
        <w:ind w:firstLine="851"/>
        <w:rPr>
          <w:rFonts w:ascii="Times New Roman" w:hAnsi="Times New Roman" w:cs="Times New Roman"/>
          <w:sz w:val="22"/>
          <w:szCs w:val="22"/>
        </w:rPr>
      </w:pPr>
      <w:r w:rsidRPr="004D3146">
        <w:rPr>
          <w:rFonts w:ascii="Times New Roman" w:hAnsi="Times New Roman" w:cs="Times New Roman"/>
          <w:sz w:val="22"/>
          <w:szCs w:val="22"/>
        </w:rPr>
        <w:t xml:space="preserve">Diante do exposto, opinamos pela </w:t>
      </w:r>
      <w:r w:rsidRPr="004D3146">
        <w:rPr>
          <w:rFonts w:ascii="Times New Roman" w:hAnsi="Times New Roman" w:cs="Times New Roman"/>
          <w:b/>
          <w:sz w:val="22"/>
          <w:szCs w:val="22"/>
        </w:rPr>
        <w:t>rejeição do Projeto de Lei nº 08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4D3146">
        <w:rPr>
          <w:rFonts w:ascii="Times New Roman" w:hAnsi="Times New Roman" w:cs="Times New Roman"/>
          <w:b/>
          <w:sz w:val="22"/>
          <w:szCs w:val="22"/>
        </w:rPr>
        <w:t>/2020,</w:t>
      </w:r>
      <w:r w:rsidRPr="004D3146">
        <w:rPr>
          <w:rFonts w:ascii="Times New Roman" w:hAnsi="Times New Roman" w:cs="Times New Roman"/>
          <w:sz w:val="22"/>
          <w:szCs w:val="22"/>
        </w:rPr>
        <w:t xml:space="preserve"> em face de sua inconstitucionalidade formal, haja vista ser matéria de iniciativa privativa da União.    </w:t>
      </w:r>
    </w:p>
    <w:p w14:paraId="724DE366" w14:textId="7C065D8C" w:rsidR="006A7997" w:rsidRDefault="006A7997" w:rsidP="006A7997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4D3146">
        <w:rPr>
          <w:rFonts w:ascii="Times New Roman" w:hAnsi="Times New Roman" w:cs="Times New Roman"/>
        </w:rPr>
        <w:t>É o voto.</w:t>
      </w:r>
    </w:p>
    <w:p w14:paraId="1B3FBCCC" w14:textId="773A982D" w:rsidR="009252FB" w:rsidRDefault="009252FB" w:rsidP="006A7997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14:paraId="1DECEDC9" w14:textId="196F1CC9" w:rsidR="009252FB" w:rsidRDefault="009252FB" w:rsidP="006A7997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14:paraId="56B00E3B" w14:textId="77777777" w:rsidR="00CC6955" w:rsidRPr="004D3146" w:rsidRDefault="00CC6955" w:rsidP="006A7997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14:paraId="3119B611" w14:textId="77777777" w:rsidR="006A7997" w:rsidRDefault="006A7997" w:rsidP="006A799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26A8750" w14:textId="77777777" w:rsidR="006A7997" w:rsidRDefault="006A7997" w:rsidP="006A7997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6035B35" w14:textId="67D5ADAE" w:rsidR="006A7997" w:rsidRPr="003C731B" w:rsidRDefault="006A7997" w:rsidP="006A7997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3C731B">
        <w:rPr>
          <w:rFonts w:ascii="Times New Roman" w:eastAsia="Calibri" w:hAnsi="Times New Roman" w:cs="Times New Roman"/>
          <w:b/>
          <w:u w:val="single"/>
        </w:rPr>
        <w:lastRenderedPageBreak/>
        <w:t>PARECER DA COMISS</w:t>
      </w:r>
      <w:r w:rsidR="00652660">
        <w:rPr>
          <w:rFonts w:ascii="Times New Roman" w:eastAsia="Calibri" w:hAnsi="Times New Roman" w:cs="Times New Roman"/>
          <w:b/>
          <w:u w:val="single"/>
        </w:rPr>
        <w:t>ÃO</w:t>
      </w:r>
      <w:r w:rsidRPr="003C731B">
        <w:rPr>
          <w:rFonts w:ascii="Times New Roman" w:eastAsia="Calibri" w:hAnsi="Times New Roman" w:cs="Times New Roman"/>
          <w:b/>
          <w:u w:val="single"/>
        </w:rPr>
        <w:t>:</w:t>
      </w:r>
    </w:p>
    <w:p w14:paraId="3A8CB633" w14:textId="28BE833D" w:rsidR="006A7997" w:rsidRPr="003C731B" w:rsidRDefault="006A7997" w:rsidP="006A7997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bCs/>
        </w:rPr>
      </w:pPr>
      <w:r w:rsidRPr="003C731B">
        <w:rPr>
          <w:rFonts w:ascii="Times New Roman" w:eastAsia="Calibri" w:hAnsi="Times New Roman" w:cs="Times New Roman"/>
          <w:bCs/>
        </w:rPr>
        <w:t xml:space="preserve">Os membros da </w:t>
      </w:r>
      <w:r w:rsidR="009252FB">
        <w:rPr>
          <w:rFonts w:ascii="Times New Roman" w:eastAsia="Calibri" w:hAnsi="Times New Roman" w:cs="Times New Roman"/>
          <w:bCs/>
        </w:rPr>
        <w:t>Comissão de Constituição</w:t>
      </w:r>
      <w:r w:rsidR="00652660">
        <w:rPr>
          <w:rFonts w:ascii="Times New Roman" w:eastAsia="Calibri" w:hAnsi="Times New Roman" w:cs="Times New Roman"/>
          <w:bCs/>
        </w:rPr>
        <w:t>,</w:t>
      </w:r>
      <w:r w:rsidR="009252FB">
        <w:rPr>
          <w:rFonts w:ascii="Times New Roman" w:eastAsia="Calibri" w:hAnsi="Times New Roman" w:cs="Times New Roman"/>
          <w:bCs/>
        </w:rPr>
        <w:t xml:space="preserve"> Justiça</w:t>
      </w:r>
      <w:r w:rsidR="00652660">
        <w:rPr>
          <w:rFonts w:ascii="Times New Roman" w:eastAsia="Calibri" w:hAnsi="Times New Roman" w:cs="Times New Roman"/>
          <w:bCs/>
        </w:rPr>
        <w:t xml:space="preserve"> e Cidadania</w:t>
      </w:r>
      <w:r w:rsidR="0092344B">
        <w:rPr>
          <w:rFonts w:ascii="Times New Roman" w:eastAsia="Calibri" w:hAnsi="Times New Roman" w:cs="Times New Roman"/>
          <w:bCs/>
        </w:rPr>
        <w:t xml:space="preserve"> </w:t>
      </w:r>
      <w:r w:rsidRPr="003C731B">
        <w:rPr>
          <w:rFonts w:ascii="Times New Roman" w:eastAsia="Calibri" w:hAnsi="Times New Roman" w:cs="Times New Roman"/>
          <w:bCs/>
        </w:rPr>
        <w:t xml:space="preserve">votam pela </w:t>
      </w:r>
      <w:r w:rsidRPr="00C53BE7">
        <w:rPr>
          <w:rFonts w:ascii="Times New Roman" w:eastAsia="Calibri" w:hAnsi="Times New Roman" w:cs="Times New Roman"/>
          <w:b/>
        </w:rPr>
        <w:t>rejeição</w:t>
      </w:r>
      <w:r w:rsidRPr="003C731B">
        <w:rPr>
          <w:rFonts w:ascii="Times New Roman" w:eastAsia="Calibri" w:hAnsi="Times New Roman" w:cs="Times New Roman"/>
          <w:bCs/>
        </w:rPr>
        <w:t xml:space="preserve"> </w:t>
      </w:r>
      <w:r w:rsidRPr="00391F55">
        <w:rPr>
          <w:rFonts w:ascii="Times New Roman" w:eastAsia="Calibri" w:hAnsi="Times New Roman" w:cs="Times New Roman"/>
          <w:b/>
          <w:bCs/>
        </w:rPr>
        <w:t>do Projeto de Lei nº 08</w:t>
      </w:r>
      <w:r w:rsidR="009252FB" w:rsidRPr="00391F55">
        <w:rPr>
          <w:rFonts w:ascii="Times New Roman" w:eastAsia="Calibri" w:hAnsi="Times New Roman" w:cs="Times New Roman"/>
          <w:b/>
          <w:bCs/>
        </w:rPr>
        <w:t>0</w:t>
      </w:r>
      <w:r w:rsidRPr="00391F55">
        <w:rPr>
          <w:rFonts w:ascii="Times New Roman" w:eastAsia="Calibri" w:hAnsi="Times New Roman" w:cs="Times New Roman"/>
          <w:b/>
          <w:bCs/>
        </w:rPr>
        <w:t>/2020</w:t>
      </w:r>
      <w:r w:rsidRPr="003C731B">
        <w:rPr>
          <w:rFonts w:ascii="Times New Roman" w:eastAsia="Calibri" w:hAnsi="Times New Roman" w:cs="Times New Roman"/>
          <w:bCs/>
        </w:rPr>
        <w:t>, nos termos do voto do Relator.</w:t>
      </w:r>
    </w:p>
    <w:p w14:paraId="43369C97" w14:textId="77777777" w:rsidR="006A7997" w:rsidRPr="003C731B" w:rsidRDefault="006A7997" w:rsidP="006A7997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bCs/>
        </w:rPr>
      </w:pPr>
      <w:r w:rsidRPr="003C731B">
        <w:rPr>
          <w:rFonts w:ascii="Times New Roman" w:eastAsia="Calibri" w:hAnsi="Times New Roman" w:cs="Times New Roman"/>
          <w:bCs/>
        </w:rPr>
        <w:t>É o parecer.</w:t>
      </w:r>
    </w:p>
    <w:p w14:paraId="2122336F" w14:textId="20C81737" w:rsidR="006A7997" w:rsidRPr="00D32061" w:rsidRDefault="006A7997" w:rsidP="006A7997">
      <w:pPr>
        <w:spacing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D32061">
        <w:rPr>
          <w:rFonts w:ascii="Times New Roman" w:hAnsi="Times New Roman" w:cs="Times New Roman"/>
        </w:rPr>
        <w:t xml:space="preserve"> </w:t>
      </w:r>
      <w:r w:rsidR="00652660">
        <w:rPr>
          <w:rFonts w:ascii="Times New Roman" w:hAnsi="Times New Roman" w:cs="Times New Roman"/>
        </w:rPr>
        <w:t xml:space="preserve">  </w:t>
      </w:r>
      <w:r w:rsidRPr="00D32061">
        <w:rPr>
          <w:rFonts w:ascii="Times New Roman" w:eastAsia="Calibri" w:hAnsi="Times New Roman" w:cs="Times New Roman"/>
        </w:rPr>
        <w:t>SALA DAS COMISSÕES “DEPUTADO LÉO FRANKLIM”, em</w:t>
      </w:r>
      <w:r w:rsidR="00E40727">
        <w:rPr>
          <w:rFonts w:ascii="Times New Roman" w:eastAsia="Calibri" w:hAnsi="Times New Roman" w:cs="Times New Roman"/>
        </w:rPr>
        <w:t xml:space="preserve"> 1</w:t>
      </w:r>
      <w:proofErr w:type="gramStart"/>
      <w:r w:rsidR="00E40727">
        <w:rPr>
          <w:rFonts w:ascii="Times New Roman" w:eastAsia="Calibri" w:hAnsi="Times New Roman" w:cs="Times New Roman"/>
        </w:rPr>
        <w:t xml:space="preserve">º </w:t>
      </w:r>
      <w:r w:rsidRPr="00D32061">
        <w:rPr>
          <w:rFonts w:ascii="Times New Roman" w:eastAsia="Calibri" w:hAnsi="Times New Roman" w:cs="Times New Roman"/>
        </w:rPr>
        <w:t xml:space="preserve"> de</w:t>
      </w:r>
      <w:proofErr w:type="gramEnd"/>
      <w:r w:rsidRPr="00D32061">
        <w:rPr>
          <w:rFonts w:ascii="Times New Roman" w:eastAsia="Calibri" w:hAnsi="Times New Roman" w:cs="Times New Roman"/>
        </w:rPr>
        <w:t xml:space="preserve"> </w:t>
      </w:r>
      <w:r w:rsidR="00E40727">
        <w:rPr>
          <w:rFonts w:ascii="Times New Roman" w:eastAsia="Calibri" w:hAnsi="Times New Roman" w:cs="Times New Roman"/>
        </w:rPr>
        <w:t xml:space="preserve"> setembro </w:t>
      </w:r>
      <w:r w:rsidRPr="00D32061">
        <w:rPr>
          <w:rFonts w:ascii="Times New Roman" w:eastAsia="Calibri" w:hAnsi="Times New Roman" w:cs="Times New Roman"/>
        </w:rPr>
        <w:t>de 20</w:t>
      </w:r>
      <w:r>
        <w:rPr>
          <w:rFonts w:ascii="Times New Roman" w:eastAsia="Calibri" w:hAnsi="Times New Roman" w:cs="Times New Roman"/>
        </w:rPr>
        <w:t>20</w:t>
      </w:r>
      <w:r w:rsidRPr="00D32061">
        <w:rPr>
          <w:rFonts w:ascii="Times New Roman" w:eastAsia="Calibri" w:hAnsi="Times New Roman" w:cs="Times New Roman"/>
        </w:rPr>
        <w:t xml:space="preserve">.  </w:t>
      </w:r>
    </w:p>
    <w:p w14:paraId="56C4B52B" w14:textId="372F4F4E" w:rsidR="006A7997" w:rsidRPr="00E36FA5" w:rsidRDefault="006A7997" w:rsidP="00E407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                                                     </w:t>
      </w:r>
    </w:p>
    <w:p w14:paraId="5F953449" w14:textId="76ECBCE8" w:rsidR="00E40727" w:rsidRDefault="00E40727" w:rsidP="00E40727">
      <w:pPr>
        <w:spacing w:line="360" w:lineRule="auto"/>
        <w:ind w:firstLine="567"/>
        <w:jc w:val="both"/>
        <w:rPr>
          <w:rFonts w:eastAsia="Calibri"/>
        </w:rPr>
      </w:pPr>
      <w:r>
        <w:rPr>
          <w:rFonts w:eastAsia="Calibri"/>
          <w:b/>
          <w:color w:val="000000"/>
          <w:sz w:val="24"/>
          <w:szCs w:val="24"/>
        </w:rPr>
        <w:t xml:space="preserve">                                  Presidente: </w:t>
      </w:r>
      <w:r>
        <w:rPr>
          <w:rFonts w:eastAsia="Calibri"/>
          <w:color w:val="000000"/>
          <w:sz w:val="24"/>
          <w:szCs w:val="24"/>
        </w:rPr>
        <w:t>Deputado Ricardo Rios</w:t>
      </w:r>
      <w:r>
        <w:rPr>
          <w:rFonts w:eastAsia="Calibri"/>
          <w:b/>
          <w:color w:val="000000"/>
          <w:sz w:val="24"/>
          <w:szCs w:val="24"/>
        </w:rPr>
        <w:t xml:space="preserve"> </w:t>
      </w:r>
    </w:p>
    <w:p w14:paraId="7A03B58C" w14:textId="77777777" w:rsidR="00E40727" w:rsidRDefault="00E40727" w:rsidP="00E40727">
      <w:pPr>
        <w:autoSpaceDE w:val="0"/>
        <w:autoSpaceDN w:val="0"/>
        <w:adjustRightInd w:val="0"/>
        <w:ind w:hanging="284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</w:t>
      </w:r>
      <w:r>
        <w:rPr>
          <w:rFonts w:eastAsia="Calibri"/>
          <w:color w:val="000000"/>
          <w:sz w:val="24"/>
          <w:szCs w:val="24"/>
        </w:rPr>
        <w:t xml:space="preserve">                                            </w:t>
      </w:r>
    </w:p>
    <w:p w14:paraId="7B58C4AD" w14:textId="77777777" w:rsidR="00E40727" w:rsidRDefault="00E40727" w:rsidP="00E40727">
      <w:pPr>
        <w:autoSpaceDE w:val="0"/>
        <w:autoSpaceDN w:val="0"/>
        <w:adjustRightInd w:val="0"/>
        <w:ind w:hanging="284"/>
        <w:jc w:val="both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                                                </w:t>
      </w:r>
      <w:r>
        <w:rPr>
          <w:rFonts w:eastAsia="Calibri"/>
          <w:b/>
          <w:color w:val="000000"/>
          <w:sz w:val="24"/>
          <w:szCs w:val="24"/>
        </w:rPr>
        <w:t xml:space="preserve">Relator: </w:t>
      </w:r>
      <w:r>
        <w:rPr>
          <w:rFonts w:eastAsia="Calibri"/>
          <w:color w:val="000000"/>
          <w:sz w:val="24"/>
          <w:szCs w:val="24"/>
        </w:rPr>
        <w:t>Deputado Ricardo Rios</w:t>
      </w:r>
    </w:p>
    <w:p w14:paraId="177E14C4" w14:textId="77777777" w:rsidR="00E40727" w:rsidRDefault="00E40727" w:rsidP="00E40727">
      <w:pPr>
        <w:autoSpaceDE w:val="0"/>
        <w:autoSpaceDN w:val="0"/>
        <w:adjustRightInd w:val="0"/>
        <w:ind w:hanging="284"/>
        <w:jc w:val="both"/>
        <w:rPr>
          <w:rFonts w:eastAsia="Calibri"/>
          <w:color w:val="000000"/>
          <w:sz w:val="24"/>
          <w:szCs w:val="24"/>
        </w:rPr>
      </w:pPr>
    </w:p>
    <w:p w14:paraId="5AEF56AD" w14:textId="77777777" w:rsidR="00E40727" w:rsidRDefault="00E40727" w:rsidP="00E40727">
      <w:pPr>
        <w:autoSpaceDE w:val="0"/>
        <w:autoSpaceDN w:val="0"/>
        <w:adjustRightInd w:val="0"/>
        <w:ind w:hanging="284"/>
        <w:jc w:val="both"/>
        <w:rPr>
          <w:rFonts w:eastAsia="Calibri"/>
          <w:color w:val="000000"/>
          <w:sz w:val="24"/>
          <w:szCs w:val="24"/>
        </w:rPr>
      </w:pPr>
    </w:p>
    <w:p w14:paraId="2ADD22E2" w14:textId="77777777" w:rsidR="00E40727" w:rsidRDefault="00E40727" w:rsidP="00E40727">
      <w:pPr>
        <w:autoSpaceDE w:val="0"/>
        <w:autoSpaceDN w:val="0"/>
        <w:adjustRightInd w:val="0"/>
        <w:ind w:hanging="284"/>
        <w:jc w:val="both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 Vota a </w:t>
      </w:r>
      <w:proofErr w:type="gramStart"/>
      <w:r>
        <w:rPr>
          <w:rFonts w:eastAsia="Calibri"/>
          <w:b/>
          <w:color w:val="000000"/>
          <w:sz w:val="24"/>
          <w:szCs w:val="24"/>
        </w:rPr>
        <w:t>favor                                                                    Vota</w:t>
      </w:r>
      <w:proofErr w:type="gramEnd"/>
      <w:r>
        <w:rPr>
          <w:rFonts w:eastAsia="Calibri"/>
          <w:b/>
          <w:color w:val="000000"/>
          <w:sz w:val="24"/>
          <w:szCs w:val="24"/>
        </w:rPr>
        <w:t xml:space="preserve"> contra</w:t>
      </w:r>
    </w:p>
    <w:p w14:paraId="0090117F" w14:textId="77777777" w:rsidR="00E40727" w:rsidRDefault="00E40727" w:rsidP="00E40727">
      <w:pPr>
        <w:autoSpaceDE w:val="0"/>
        <w:autoSpaceDN w:val="0"/>
        <w:adjustRightInd w:val="0"/>
        <w:ind w:hanging="284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Deputado Rafael Leitoa                                                   __________________________</w:t>
      </w:r>
    </w:p>
    <w:p w14:paraId="31FBDD00" w14:textId="77777777" w:rsidR="00E40727" w:rsidRDefault="00E40727" w:rsidP="00E40727">
      <w:pPr>
        <w:autoSpaceDE w:val="0"/>
        <w:autoSpaceDN w:val="0"/>
        <w:adjustRightInd w:val="0"/>
        <w:ind w:hanging="284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Deputado Antonio Pereira                                                __________________________</w:t>
      </w:r>
    </w:p>
    <w:p w14:paraId="265A14C1" w14:textId="77777777" w:rsidR="00E40727" w:rsidRDefault="00E40727" w:rsidP="00E40727">
      <w:pPr>
        <w:autoSpaceDE w:val="0"/>
        <w:autoSpaceDN w:val="0"/>
        <w:adjustRightInd w:val="0"/>
        <w:ind w:hanging="284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Deputado Ciro Neto                                                         __________________________</w:t>
      </w:r>
    </w:p>
    <w:p w14:paraId="68DB0797" w14:textId="77777777" w:rsidR="00E40727" w:rsidRDefault="00E40727" w:rsidP="00E40727">
      <w:pPr>
        <w:autoSpaceDE w:val="0"/>
        <w:autoSpaceDN w:val="0"/>
        <w:adjustRightInd w:val="0"/>
        <w:ind w:hanging="284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______________________                                             __________________________</w:t>
      </w:r>
    </w:p>
    <w:sectPr w:rsidR="00E40727" w:rsidSect="00E36FA5">
      <w:headerReference w:type="default" r:id="rId6"/>
      <w:pgSz w:w="11906" w:h="16838"/>
      <w:pgMar w:top="1701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54F03" w14:textId="77777777" w:rsidR="003A20B4" w:rsidRDefault="00FC7B37">
      <w:pPr>
        <w:spacing w:after="0" w:line="240" w:lineRule="auto"/>
      </w:pPr>
      <w:r>
        <w:separator/>
      </w:r>
    </w:p>
  </w:endnote>
  <w:endnote w:type="continuationSeparator" w:id="0">
    <w:p w14:paraId="47E6A52B" w14:textId="77777777" w:rsidR="003A20B4" w:rsidRDefault="00FC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A3BAE" w14:textId="77777777" w:rsidR="003A20B4" w:rsidRDefault="00FC7B37">
      <w:pPr>
        <w:spacing w:after="0" w:line="240" w:lineRule="auto"/>
      </w:pPr>
      <w:r>
        <w:separator/>
      </w:r>
    </w:p>
  </w:footnote>
  <w:footnote w:type="continuationSeparator" w:id="0">
    <w:p w14:paraId="65E30B38" w14:textId="77777777" w:rsidR="003A20B4" w:rsidRDefault="00FC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70DBC" w14:textId="77777777" w:rsidR="00CD1E66" w:rsidRPr="007E6259" w:rsidRDefault="0092344B" w:rsidP="00CD1E66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Calibri" w:eastAsia="Calibri" w:hAnsi="Calibri"/>
        <w:b/>
        <w:color w:val="000080"/>
      </w:rPr>
    </w:pPr>
    <w:r w:rsidRPr="007E6259">
      <w:rPr>
        <w:rFonts w:ascii="Calibri" w:eastAsia="Calibri" w:hAnsi="Calibri"/>
        <w:noProof/>
      </w:rPr>
      <w:drawing>
        <wp:inline distT="0" distB="0" distL="0" distR="0" wp14:anchorId="7FD7B6F5" wp14:editId="1192C879">
          <wp:extent cx="942975" cy="819150"/>
          <wp:effectExtent l="0" t="0" r="952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86BA57" w14:textId="77777777" w:rsidR="00CD1E66" w:rsidRPr="007E6259" w:rsidRDefault="0092344B" w:rsidP="00CD1E66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</w:rPr>
    </w:pPr>
    <w:r w:rsidRPr="007E6259">
      <w:rPr>
        <w:rFonts w:ascii="Calibri" w:eastAsia="Calibri" w:hAnsi="Calibri"/>
      </w:rPr>
      <w:t>ESTADO DO MARANHÃO</w:t>
    </w:r>
  </w:p>
  <w:p w14:paraId="52A77BAA" w14:textId="77777777" w:rsidR="00CD1E66" w:rsidRPr="007E6259" w:rsidRDefault="0092344B" w:rsidP="00CD1E66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b/>
      </w:rPr>
    </w:pPr>
    <w:r w:rsidRPr="007E6259">
      <w:rPr>
        <w:rFonts w:ascii="Calibri" w:eastAsia="Calibri" w:hAnsi="Calibri"/>
      </w:rPr>
      <w:t>ASSEMBLEIA LEGISLATIVA DO MARANHÃO</w:t>
    </w:r>
  </w:p>
  <w:p w14:paraId="7E3FFD59" w14:textId="77777777" w:rsidR="00CD1E66" w:rsidRPr="007E6259" w:rsidRDefault="0092344B" w:rsidP="00CD1E66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b/>
      </w:rPr>
    </w:pPr>
    <w:r w:rsidRPr="007E6259">
      <w:rPr>
        <w:rFonts w:ascii="Calibri" w:eastAsia="Calibri" w:hAnsi="Calibri"/>
        <w:b/>
      </w:rPr>
      <w:t>INSTALADA EM 16 DE FEVEREIRO DE 1835</w:t>
    </w:r>
  </w:p>
  <w:p w14:paraId="77E7424E" w14:textId="77777777" w:rsidR="00CD1E66" w:rsidRPr="007E6259" w:rsidRDefault="0092344B" w:rsidP="00CD1E66">
    <w:pPr>
      <w:tabs>
        <w:tab w:val="center" w:pos="4252"/>
        <w:tab w:val="right" w:pos="8504"/>
      </w:tabs>
      <w:spacing w:after="0" w:line="240" w:lineRule="auto"/>
      <w:jc w:val="center"/>
      <w:rPr>
        <w:rFonts w:ascii="Verdana" w:eastAsia="Calibri" w:hAnsi="Verdana"/>
        <w:b/>
      </w:rPr>
    </w:pPr>
    <w:r w:rsidRPr="007E6259">
      <w:rPr>
        <w:rFonts w:ascii="Calibri" w:eastAsia="Calibri" w:hAnsi="Calibri"/>
      </w:rPr>
      <w:t>DIRETORIA LEGISLATIVA</w:t>
    </w:r>
  </w:p>
  <w:p w14:paraId="7DE797A7" w14:textId="77777777" w:rsidR="00CD1E66" w:rsidRDefault="006D72F6" w:rsidP="00CD1E66">
    <w:pPr>
      <w:pStyle w:val="Cabealho"/>
    </w:pPr>
  </w:p>
  <w:p w14:paraId="38B1E278" w14:textId="77777777" w:rsidR="00CD1E66" w:rsidRDefault="006D72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97"/>
    <w:rsid w:val="00391F55"/>
    <w:rsid w:val="003A20B4"/>
    <w:rsid w:val="003D3EE7"/>
    <w:rsid w:val="0041226F"/>
    <w:rsid w:val="006304CD"/>
    <w:rsid w:val="00652660"/>
    <w:rsid w:val="006A7997"/>
    <w:rsid w:val="006D72F6"/>
    <w:rsid w:val="0092344B"/>
    <w:rsid w:val="009252FB"/>
    <w:rsid w:val="00B61CB8"/>
    <w:rsid w:val="00CC6955"/>
    <w:rsid w:val="00E24F0A"/>
    <w:rsid w:val="00E40727"/>
    <w:rsid w:val="00F0687C"/>
    <w:rsid w:val="00FC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7EE9"/>
  <w15:chartTrackingRefBased/>
  <w15:docId w15:val="{BF5250AE-23F4-4551-A1F6-F77E32DB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99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7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7997"/>
  </w:style>
  <w:style w:type="paragraph" w:styleId="Recuodecorpodetexto">
    <w:name w:val="Body Text Indent"/>
    <w:basedOn w:val="Normal"/>
    <w:link w:val="RecuodecorpodetextoChar"/>
    <w:rsid w:val="006A7997"/>
    <w:pPr>
      <w:spacing w:after="0" w:line="360" w:lineRule="auto"/>
      <w:ind w:right="18" w:firstLine="180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A7997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6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Máneton Antunes Macêdo</dc:creator>
  <cp:keywords/>
  <dc:description/>
  <cp:lastModifiedBy>Barbara do Carmo Neto</cp:lastModifiedBy>
  <cp:revision>2</cp:revision>
  <cp:lastPrinted>2020-08-17T11:55:00Z</cp:lastPrinted>
  <dcterms:created xsi:type="dcterms:W3CDTF">2020-09-02T12:54:00Z</dcterms:created>
  <dcterms:modified xsi:type="dcterms:W3CDTF">2020-09-02T12:54:00Z</dcterms:modified>
</cp:coreProperties>
</file>