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ACCFA" w14:textId="77777777" w:rsidR="00FE03C2" w:rsidRPr="00143242" w:rsidRDefault="00FE03C2" w:rsidP="00FE03C2">
      <w:pPr>
        <w:rPr>
          <w:sz w:val="22"/>
          <w:szCs w:val="22"/>
        </w:rPr>
      </w:pPr>
      <w:bookmarkStart w:id="0" w:name="_GoBack"/>
      <w:bookmarkEnd w:id="0"/>
    </w:p>
    <w:p w14:paraId="61966D8F" w14:textId="77777777" w:rsidR="00FE03C2" w:rsidRDefault="00FE03C2" w:rsidP="00FE03C2">
      <w:pPr>
        <w:tabs>
          <w:tab w:val="left" w:pos="4678"/>
          <w:tab w:val="left" w:pos="4962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143242">
        <w:rPr>
          <w:b/>
          <w:sz w:val="22"/>
          <w:szCs w:val="22"/>
          <w:u w:val="single"/>
        </w:rPr>
        <w:t>COMISSÃO DE CONSTITUIÇÃO, JUSTIÇA E CIDADANIA</w:t>
      </w:r>
    </w:p>
    <w:p w14:paraId="62F5DF83" w14:textId="77777777" w:rsidR="00FE03C2" w:rsidRPr="00143242" w:rsidRDefault="00FE03C2" w:rsidP="00FE03C2">
      <w:pPr>
        <w:pStyle w:val="Ttulo2"/>
        <w:ind w:firstLine="3119"/>
        <w:jc w:val="center"/>
        <w:rPr>
          <w:b/>
          <w:sz w:val="22"/>
          <w:szCs w:val="22"/>
          <w:u w:val="none"/>
        </w:rPr>
      </w:pPr>
    </w:p>
    <w:p w14:paraId="0D8C9942" w14:textId="7FD920E4" w:rsidR="00FE03C2" w:rsidRPr="00143242" w:rsidRDefault="00FE03C2" w:rsidP="00FE03C2">
      <w:pPr>
        <w:pStyle w:val="Ttulo2"/>
        <w:ind w:firstLine="2700"/>
        <w:rPr>
          <w:b/>
          <w:sz w:val="22"/>
          <w:szCs w:val="22"/>
        </w:rPr>
      </w:pPr>
      <w:r w:rsidRPr="00143242">
        <w:rPr>
          <w:b/>
          <w:sz w:val="22"/>
          <w:szCs w:val="22"/>
          <w:u w:val="none"/>
        </w:rPr>
        <w:t xml:space="preserve">          </w:t>
      </w:r>
      <w:r w:rsidRPr="00143242">
        <w:rPr>
          <w:b/>
          <w:sz w:val="22"/>
          <w:szCs w:val="22"/>
        </w:rPr>
        <w:t xml:space="preserve">P A R E C E R Nº </w:t>
      </w:r>
      <w:r w:rsidR="00C57187">
        <w:rPr>
          <w:b/>
          <w:sz w:val="22"/>
          <w:szCs w:val="22"/>
        </w:rPr>
        <w:t>466</w:t>
      </w:r>
      <w:r w:rsidRPr="00143242">
        <w:rPr>
          <w:b/>
          <w:sz w:val="22"/>
          <w:szCs w:val="22"/>
        </w:rPr>
        <w:t xml:space="preserve"> / 20</w:t>
      </w:r>
      <w:r>
        <w:rPr>
          <w:b/>
          <w:sz w:val="22"/>
          <w:szCs w:val="22"/>
        </w:rPr>
        <w:t>20</w:t>
      </w:r>
    </w:p>
    <w:p w14:paraId="65E02555" w14:textId="77777777" w:rsidR="00FE03C2" w:rsidRPr="00143242" w:rsidRDefault="00FE03C2" w:rsidP="00FE03C2">
      <w:pPr>
        <w:jc w:val="center"/>
        <w:rPr>
          <w:b/>
          <w:sz w:val="22"/>
          <w:szCs w:val="22"/>
          <w:u w:val="single"/>
        </w:rPr>
      </w:pPr>
    </w:p>
    <w:p w14:paraId="63051C19" w14:textId="77777777" w:rsidR="00FE03C2" w:rsidRPr="00143242" w:rsidRDefault="00FE03C2" w:rsidP="00FE03C2">
      <w:pPr>
        <w:jc w:val="both"/>
        <w:rPr>
          <w:b/>
          <w:sz w:val="22"/>
          <w:szCs w:val="22"/>
          <w:u w:val="single"/>
        </w:rPr>
      </w:pPr>
    </w:p>
    <w:p w14:paraId="5613CC57" w14:textId="77777777" w:rsidR="00FE03C2" w:rsidRPr="00143242" w:rsidRDefault="00FE03C2" w:rsidP="00FE03C2">
      <w:pPr>
        <w:jc w:val="both"/>
        <w:rPr>
          <w:b/>
          <w:sz w:val="22"/>
          <w:szCs w:val="22"/>
          <w:u w:val="single"/>
        </w:rPr>
      </w:pPr>
      <w:r w:rsidRPr="00143242">
        <w:rPr>
          <w:b/>
          <w:sz w:val="22"/>
          <w:szCs w:val="22"/>
          <w:u w:val="single"/>
        </w:rPr>
        <w:t>RELATÓRIO:</w:t>
      </w:r>
    </w:p>
    <w:p w14:paraId="5092F69A" w14:textId="77777777" w:rsidR="00FE03C2" w:rsidRPr="00143242" w:rsidRDefault="00FE03C2" w:rsidP="00FE03C2">
      <w:pPr>
        <w:spacing w:line="360" w:lineRule="auto"/>
        <w:jc w:val="both"/>
        <w:rPr>
          <w:sz w:val="22"/>
          <w:szCs w:val="22"/>
        </w:rPr>
      </w:pPr>
    </w:p>
    <w:p w14:paraId="3F4AECCB" w14:textId="6D3D7013" w:rsidR="00FE03C2" w:rsidRPr="00FE03C2" w:rsidRDefault="00FE03C2" w:rsidP="00FE03C2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cs="Arial-ItalicMT"/>
          <w:iCs/>
          <w:color w:val="000000" w:themeColor="text1"/>
          <w:sz w:val="22"/>
          <w:szCs w:val="22"/>
        </w:rPr>
      </w:pPr>
      <w:r>
        <w:rPr>
          <w:rFonts w:cs="ArialMT"/>
          <w:color w:val="000000" w:themeColor="text1"/>
          <w:sz w:val="22"/>
          <w:szCs w:val="22"/>
        </w:rPr>
        <w:t>Cuida-se da</w:t>
      </w:r>
      <w:r w:rsidRPr="00143242">
        <w:rPr>
          <w:rFonts w:cs="ArialMT"/>
          <w:color w:val="000000" w:themeColor="text1"/>
          <w:sz w:val="22"/>
          <w:szCs w:val="22"/>
        </w:rPr>
        <w:t xml:space="preserve"> </w:t>
      </w:r>
      <w:r w:rsidRPr="00143242">
        <w:rPr>
          <w:rFonts w:cs="ArialMT"/>
          <w:b/>
          <w:color w:val="000000" w:themeColor="text1"/>
          <w:sz w:val="22"/>
          <w:szCs w:val="22"/>
        </w:rPr>
        <w:t>análise de constitucionalidade, juridicidade e legalidade</w:t>
      </w:r>
      <w:r w:rsidRPr="00143242">
        <w:rPr>
          <w:rFonts w:cs="ArialMT"/>
          <w:color w:val="000000" w:themeColor="text1"/>
          <w:sz w:val="22"/>
          <w:szCs w:val="22"/>
        </w:rPr>
        <w:t xml:space="preserve"> do </w:t>
      </w:r>
      <w:r w:rsidRPr="00143242">
        <w:rPr>
          <w:rFonts w:cs="Arial-ItalicMT"/>
          <w:b/>
          <w:iCs/>
          <w:color w:val="000000" w:themeColor="text1"/>
          <w:sz w:val="22"/>
          <w:szCs w:val="22"/>
        </w:rPr>
        <w:t xml:space="preserve">Projeto de Lei nº </w:t>
      </w:r>
      <w:r>
        <w:rPr>
          <w:rFonts w:cs="Arial-ItalicMT"/>
          <w:b/>
          <w:iCs/>
          <w:color w:val="000000" w:themeColor="text1"/>
          <w:sz w:val="22"/>
          <w:szCs w:val="22"/>
        </w:rPr>
        <w:t>117</w:t>
      </w:r>
      <w:r w:rsidRPr="00143242">
        <w:rPr>
          <w:rFonts w:cs="Arial-ItalicMT"/>
          <w:b/>
          <w:iCs/>
          <w:color w:val="000000" w:themeColor="text1"/>
          <w:sz w:val="22"/>
          <w:szCs w:val="22"/>
        </w:rPr>
        <w:t>/20</w:t>
      </w:r>
      <w:r>
        <w:rPr>
          <w:rFonts w:cs="Arial-ItalicMT"/>
          <w:b/>
          <w:iCs/>
          <w:color w:val="000000" w:themeColor="text1"/>
          <w:sz w:val="22"/>
          <w:szCs w:val="22"/>
        </w:rPr>
        <w:t>20</w:t>
      </w:r>
      <w:r w:rsidRPr="00143242">
        <w:rPr>
          <w:rFonts w:cs="Arial-ItalicMT"/>
          <w:b/>
          <w:iCs/>
          <w:color w:val="000000" w:themeColor="text1"/>
          <w:sz w:val="22"/>
          <w:szCs w:val="22"/>
        </w:rPr>
        <w:t>,</w:t>
      </w:r>
      <w:r w:rsidRPr="00143242">
        <w:rPr>
          <w:rFonts w:cs="Arial-ItalicMT"/>
          <w:iCs/>
          <w:color w:val="000000" w:themeColor="text1"/>
          <w:sz w:val="22"/>
          <w:szCs w:val="22"/>
        </w:rPr>
        <w:t xml:space="preserve"> de autoria d</w:t>
      </w:r>
      <w:r>
        <w:rPr>
          <w:rFonts w:cs="Arial-ItalicMT"/>
          <w:iCs/>
          <w:color w:val="000000" w:themeColor="text1"/>
          <w:sz w:val="22"/>
          <w:szCs w:val="22"/>
        </w:rPr>
        <w:t>o</w:t>
      </w:r>
      <w:r w:rsidRPr="00143242">
        <w:rPr>
          <w:rFonts w:cs="Arial-ItalicMT"/>
          <w:iCs/>
          <w:color w:val="000000" w:themeColor="text1"/>
          <w:sz w:val="22"/>
          <w:szCs w:val="22"/>
        </w:rPr>
        <w:t xml:space="preserve"> Senhor Deputad</w:t>
      </w:r>
      <w:r>
        <w:rPr>
          <w:rFonts w:cs="Arial-ItalicMT"/>
          <w:iCs/>
          <w:color w:val="000000" w:themeColor="text1"/>
          <w:sz w:val="22"/>
          <w:szCs w:val="22"/>
        </w:rPr>
        <w:t>o</w:t>
      </w:r>
      <w:r w:rsidRPr="004028F7">
        <w:rPr>
          <w:rFonts w:cs="Arial-ItalicMT"/>
          <w:iCs/>
          <w:color w:val="000000" w:themeColor="text1"/>
          <w:sz w:val="22"/>
          <w:szCs w:val="22"/>
        </w:rPr>
        <w:t xml:space="preserve"> </w:t>
      </w:r>
      <w:r>
        <w:rPr>
          <w:rFonts w:cs="Arial-ItalicMT"/>
          <w:iCs/>
          <w:color w:val="000000" w:themeColor="text1"/>
          <w:sz w:val="22"/>
          <w:szCs w:val="22"/>
        </w:rPr>
        <w:t>Adriano</w:t>
      </w:r>
      <w:r w:rsidRPr="00143242">
        <w:rPr>
          <w:rFonts w:cs="Arial-ItalicMT"/>
          <w:iCs/>
          <w:color w:val="000000" w:themeColor="text1"/>
          <w:sz w:val="22"/>
          <w:szCs w:val="22"/>
        </w:rPr>
        <w:t xml:space="preserve">, </w:t>
      </w:r>
      <w:bookmarkStart w:id="1" w:name="_Hlk26436000"/>
      <w:r w:rsidRPr="00143242">
        <w:rPr>
          <w:rFonts w:cs="Arial-ItalicMT"/>
          <w:iCs/>
          <w:color w:val="000000" w:themeColor="text1"/>
          <w:sz w:val="22"/>
          <w:szCs w:val="22"/>
        </w:rPr>
        <w:t xml:space="preserve">que </w:t>
      </w:r>
      <w:bookmarkEnd w:id="1"/>
      <w:r w:rsidR="00C57187">
        <w:rPr>
          <w:rFonts w:cs="Arial-ItalicMT"/>
          <w:iCs/>
          <w:color w:val="000000" w:themeColor="text1"/>
          <w:sz w:val="22"/>
          <w:szCs w:val="22"/>
        </w:rPr>
        <w:t>D</w:t>
      </w:r>
      <w:r w:rsidRPr="00FE03C2">
        <w:rPr>
          <w:rFonts w:cs="Arial-ItalicMT"/>
          <w:iCs/>
          <w:color w:val="000000" w:themeColor="text1"/>
          <w:sz w:val="22"/>
          <w:szCs w:val="22"/>
        </w:rPr>
        <w:t xml:space="preserve">ispõe sobre a moratória </w:t>
      </w:r>
      <w:proofErr w:type="gramStart"/>
      <w:r w:rsidRPr="00FE03C2">
        <w:rPr>
          <w:rFonts w:cs="Arial-ItalicMT"/>
          <w:iCs/>
          <w:color w:val="000000" w:themeColor="text1"/>
          <w:sz w:val="22"/>
          <w:szCs w:val="22"/>
        </w:rPr>
        <w:t>e</w:t>
      </w:r>
      <w:r>
        <w:rPr>
          <w:rFonts w:cs="Arial-ItalicMT"/>
          <w:iCs/>
          <w:color w:val="000000" w:themeColor="text1"/>
          <w:sz w:val="22"/>
          <w:szCs w:val="22"/>
        </w:rPr>
        <w:t xml:space="preserve">  </w:t>
      </w:r>
      <w:r w:rsidRPr="00FE03C2">
        <w:rPr>
          <w:rFonts w:cs="Arial-ItalicMT"/>
          <w:iCs/>
          <w:color w:val="000000" w:themeColor="text1"/>
          <w:sz w:val="22"/>
          <w:szCs w:val="22"/>
        </w:rPr>
        <w:t>parcelamento</w:t>
      </w:r>
      <w:proofErr w:type="gramEnd"/>
      <w:r w:rsidRPr="00FE03C2">
        <w:rPr>
          <w:rFonts w:cs="Arial-ItalicMT"/>
          <w:iCs/>
          <w:color w:val="000000" w:themeColor="text1"/>
          <w:sz w:val="22"/>
          <w:szCs w:val="22"/>
        </w:rPr>
        <w:t xml:space="preserve"> do ICMS no âmbito do </w:t>
      </w:r>
      <w:r w:rsidR="00C57187">
        <w:rPr>
          <w:rFonts w:cs="Arial-ItalicMT"/>
          <w:iCs/>
          <w:color w:val="000000" w:themeColor="text1"/>
          <w:sz w:val="22"/>
          <w:szCs w:val="22"/>
        </w:rPr>
        <w:t>E</w:t>
      </w:r>
      <w:r w:rsidRPr="00FE03C2">
        <w:rPr>
          <w:rFonts w:cs="Arial-ItalicMT"/>
          <w:iCs/>
          <w:color w:val="000000" w:themeColor="text1"/>
          <w:sz w:val="22"/>
          <w:szCs w:val="22"/>
        </w:rPr>
        <w:t>stado do Maranhão.</w:t>
      </w:r>
    </w:p>
    <w:p w14:paraId="1EBECA4F" w14:textId="69016F8D" w:rsidR="00FE03C2" w:rsidRDefault="00FE03C2" w:rsidP="00FE03C2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Nos termos do presente Projeto de Lei, </w:t>
      </w:r>
      <w:r w:rsidRPr="00FE03C2">
        <w:rPr>
          <w:color w:val="000000"/>
          <w:sz w:val="22"/>
          <w:szCs w:val="22"/>
        </w:rPr>
        <w:t>os prazos para recolhimento e pagamento do Imposto sobre Operações relativas à Circulação de Mercadorias e Prestação de Serviços de Transporte Interestadual e Intermunicipal e de Comunicação – ICMS, relativos às competências de abril, maio e junho de 2020, ficam prorrogados para pagamento em até seis parcelas a partir de julho de 2020, regulamentado pelo Chefe do Poder Executivo Estadual.</w:t>
      </w:r>
    </w:p>
    <w:p w14:paraId="1CC7A97F" w14:textId="77777777" w:rsidR="00C57187" w:rsidRPr="00C57187" w:rsidRDefault="00C57187" w:rsidP="00C57187">
      <w:pPr>
        <w:spacing w:after="200" w:line="360" w:lineRule="auto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C57187">
        <w:rPr>
          <w:rFonts w:eastAsia="Calibri"/>
          <w:sz w:val="22"/>
          <w:szCs w:val="22"/>
          <w:lang w:eastAsia="en-US"/>
        </w:rPr>
        <w:t xml:space="preserve">Imperioso salientar que a concessão ou revogação de benefícios e incentivos fiscais concernentes ao ICMS, devem obedecer ao disposto no </w:t>
      </w:r>
      <w:r w:rsidRPr="00C57187">
        <w:rPr>
          <w:rFonts w:eastAsia="Calibri"/>
          <w:b/>
          <w:sz w:val="22"/>
          <w:szCs w:val="22"/>
          <w:lang w:eastAsia="en-US"/>
        </w:rPr>
        <w:t>art. 155, §2°, XII, g</w:t>
      </w:r>
      <w:r w:rsidRPr="00C57187">
        <w:rPr>
          <w:rFonts w:eastAsia="Calibri"/>
          <w:sz w:val="22"/>
          <w:szCs w:val="22"/>
          <w:lang w:eastAsia="en-US"/>
        </w:rPr>
        <w:t>, da CF/88, em virtude do caráter Nacional do ICMS e consequente preservação do equilíbrio do pacto federativo. Senão vejamos:</w:t>
      </w:r>
    </w:p>
    <w:p w14:paraId="47822454" w14:textId="77777777" w:rsidR="00C57187" w:rsidRPr="00C57187" w:rsidRDefault="00C57187" w:rsidP="00C57187">
      <w:pPr>
        <w:spacing w:after="200" w:line="276" w:lineRule="auto"/>
        <w:ind w:left="2268"/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C57187">
        <w:rPr>
          <w:rFonts w:eastAsia="Calibri"/>
          <w:i/>
          <w:color w:val="000000"/>
          <w:sz w:val="22"/>
          <w:szCs w:val="22"/>
          <w:lang w:eastAsia="en-US"/>
        </w:rPr>
        <w:t xml:space="preserve">Art. 155 – [...] </w:t>
      </w:r>
      <w:r w:rsidRPr="00C5718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XII – Cabe à lei complementar: g) regular a forma como, mediante deliberação dos Estados e do Distrito Federal, isenções, incentivos e benefícios fiscais serão concedidos e </w:t>
      </w:r>
      <w:proofErr w:type="gramStart"/>
      <w:r w:rsidRPr="00C57187">
        <w:rPr>
          <w:rFonts w:eastAsia="Calibri"/>
          <w:b/>
          <w:i/>
          <w:color w:val="000000"/>
          <w:sz w:val="22"/>
          <w:szCs w:val="22"/>
          <w:lang w:eastAsia="en-US"/>
        </w:rPr>
        <w:t>revogados.[...]</w:t>
      </w:r>
      <w:proofErr w:type="gramEnd"/>
    </w:p>
    <w:p w14:paraId="66B896DC" w14:textId="56C38F43" w:rsidR="00C57187" w:rsidRPr="00C57187" w:rsidRDefault="00C57187" w:rsidP="00C57187">
      <w:pPr>
        <w:spacing w:after="200" w:line="276" w:lineRule="auto"/>
        <w:ind w:left="1134" w:firstLine="226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57187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</w:p>
    <w:p w14:paraId="528068C9" w14:textId="77777777" w:rsidR="00C57187" w:rsidRPr="00C57187" w:rsidRDefault="00C57187" w:rsidP="00C57187">
      <w:pPr>
        <w:spacing w:after="200" w:line="360" w:lineRule="auto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C57187">
        <w:rPr>
          <w:rFonts w:eastAsia="Calibri"/>
          <w:sz w:val="22"/>
          <w:szCs w:val="22"/>
          <w:lang w:eastAsia="en-US"/>
        </w:rPr>
        <w:t xml:space="preserve">Nesse diapasão, todos os benefícios fiscais relativos ao ICMS devem respeitar o disposto na </w:t>
      </w:r>
      <w:r w:rsidRPr="00C57187">
        <w:rPr>
          <w:rFonts w:eastAsia="Calibri"/>
          <w:b/>
          <w:sz w:val="22"/>
          <w:szCs w:val="22"/>
          <w:u w:val="single"/>
          <w:lang w:eastAsia="en-US"/>
        </w:rPr>
        <w:t>Lei Complementar 24/75</w:t>
      </w:r>
      <w:r w:rsidRPr="00C57187">
        <w:rPr>
          <w:rFonts w:eastAsia="Calibri"/>
          <w:sz w:val="22"/>
          <w:szCs w:val="22"/>
          <w:lang w:eastAsia="en-US"/>
        </w:rPr>
        <w:t>, veículo normativo apto a regulamentar as desonerações fiscais em matéria de ICMS, e recepcionadas pela Constituição Federal de 1988, que, por sua vez, dispõe:</w:t>
      </w:r>
    </w:p>
    <w:p w14:paraId="2340D252" w14:textId="77777777" w:rsidR="00C57187" w:rsidRPr="00C57187" w:rsidRDefault="00C57187" w:rsidP="00C57187">
      <w:pPr>
        <w:spacing w:after="200" w:line="276" w:lineRule="auto"/>
        <w:ind w:left="2268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C57187">
        <w:rPr>
          <w:rFonts w:eastAsia="Calibri"/>
          <w:i/>
          <w:color w:val="000000"/>
          <w:sz w:val="22"/>
          <w:szCs w:val="22"/>
          <w:lang w:eastAsia="en-US"/>
        </w:rPr>
        <w:t xml:space="preserve"> Art. 1º - </w:t>
      </w:r>
      <w:r w:rsidRPr="00C57187">
        <w:rPr>
          <w:rFonts w:eastAsia="Calibri"/>
          <w:b/>
          <w:i/>
          <w:color w:val="000000"/>
          <w:sz w:val="22"/>
          <w:szCs w:val="22"/>
          <w:u w:val="single"/>
          <w:lang w:eastAsia="en-US"/>
        </w:rPr>
        <w:t>As isenções</w:t>
      </w:r>
      <w:r w:rsidRPr="00C57187">
        <w:rPr>
          <w:rFonts w:eastAsia="Calibri"/>
          <w:i/>
          <w:color w:val="000000"/>
          <w:sz w:val="22"/>
          <w:szCs w:val="22"/>
          <w:lang w:eastAsia="en-US"/>
        </w:rPr>
        <w:t xml:space="preserve"> do Imposto Sobre Operações Relativas à Circulação de Mercadorias serão </w:t>
      </w:r>
      <w:r w:rsidRPr="00C57187">
        <w:rPr>
          <w:rFonts w:eastAsia="Calibri"/>
          <w:b/>
          <w:i/>
          <w:color w:val="000000"/>
          <w:sz w:val="22"/>
          <w:szCs w:val="22"/>
          <w:lang w:eastAsia="en-US"/>
        </w:rPr>
        <w:t>concedidas ou revogadas nos termos de Convênios celebrados e ratificados pelos Estados e pelo Distrito Federal</w:t>
      </w:r>
      <w:r w:rsidRPr="00C57187">
        <w:rPr>
          <w:rFonts w:eastAsia="Calibri"/>
          <w:i/>
          <w:color w:val="000000"/>
          <w:sz w:val="22"/>
          <w:szCs w:val="22"/>
          <w:lang w:eastAsia="en-US"/>
        </w:rPr>
        <w:t xml:space="preserve">, segundo esta Lei: </w:t>
      </w:r>
    </w:p>
    <w:p w14:paraId="08D14B77" w14:textId="77777777" w:rsidR="00C57187" w:rsidRPr="00C57187" w:rsidRDefault="00C57187" w:rsidP="00C57187">
      <w:pPr>
        <w:spacing w:after="200" w:line="276" w:lineRule="auto"/>
        <w:ind w:left="2268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C57187">
        <w:rPr>
          <w:rFonts w:eastAsia="Calibri"/>
          <w:i/>
          <w:color w:val="000000"/>
          <w:sz w:val="22"/>
          <w:szCs w:val="22"/>
          <w:lang w:eastAsia="en-US"/>
        </w:rPr>
        <w:lastRenderedPageBreak/>
        <w:t xml:space="preserve">Parágrafo Único – O disposto neste artigo também se aplica: [...] </w:t>
      </w:r>
      <w:r w:rsidRPr="00C57187">
        <w:rPr>
          <w:rFonts w:eastAsia="Calibri"/>
          <w:b/>
          <w:i/>
          <w:color w:val="000000"/>
          <w:sz w:val="22"/>
          <w:szCs w:val="22"/>
          <w:u w:val="single"/>
          <w:lang w:eastAsia="en-US"/>
        </w:rPr>
        <w:t xml:space="preserve">IV – a quaisquer outros incentivos ou favores fiscais ou financeiro-fiscais, concedidos com base no Imposto de Circulação de Mercadorias, dos quais resulte redução ou eliminação, direta ou indireta, do respectivo ônus; </w:t>
      </w:r>
      <w:r w:rsidRPr="00C57187">
        <w:rPr>
          <w:rFonts w:eastAsia="Calibri"/>
          <w:i/>
          <w:color w:val="000000"/>
          <w:sz w:val="22"/>
          <w:szCs w:val="22"/>
          <w:lang w:eastAsia="en-US"/>
        </w:rPr>
        <w:t>V – às prorrogações e às extensões das isenções vigentes nesta data;</w:t>
      </w:r>
    </w:p>
    <w:p w14:paraId="6048C622" w14:textId="77777777" w:rsidR="00C57187" w:rsidRPr="00C57187" w:rsidRDefault="00C57187" w:rsidP="00C57187">
      <w:pPr>
        <w:spacing w:after="200" w:line="276" w:lineRule="auto"/>
        <w:ind w:left="2268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  <w:r w:rsidRPr="00C57187">
        <w:rPr>
          <w:rFonts w:eastAsia="Calibri"/>
          <w:i/>
          <w:color w:val="000000"/>
          <w:sz w:val="22"/>
          <w:szCs w:val="22"/>
          <w:lang w:eastAsia="en-US"/>
        </w:rPr>
        <w:t xml:space="preserve">Art. 2º - Os convênios a que alude o art. 1º, serão celebrados em reuniões para as quais tenham sido convocados representantes de todos os Estados e do Distrito Federal, sob a presidência de representantes do Governo federal.[...] § 2º - </w:t>
      </w:r>
      <w:r w:rsidRPr="00C57187">
        <w:rPr>
          <w:rFonts w:eastAsia="Calibri"/>
          <w:b/>
          <w:i/>
          <w:color w:val="000000"/>
          <w:sz w:val="22"/>
          <w:szCs w:val="22"/>
          <w:lang w:eastAsia="en-US"/>
        </w:rPr>
        <w:t>A concessão de benefícios dependerá</w:t>
      </w:r>
      <w:r w:rsidRPr="00C57187">
        <w:rPr>
          <w:rFonts w:eastAsia="Calibri"/>
          <w:i/>
          <w:color w:val="000000"/>
          <w:sz w:val="22"/>
          <w:szCs w:val="22"/>
          <w:lang w:eastAsia="en-US"/>
        </w:rPr>
        <w:t xml:space="preserve"> </w:t>
      </w:r>
      <w:r w:rsidRPr="00C5718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sempre de decisão </w:t>
      </w:r>
      <w:r w:rsidRPr="00C57187">
        <w:rPr>
          <w:rFonts w:eastAsia="Calibri"/>
          <w:b/>
          <w:i/>
          <w:color w:val="000000"/>
          <w:sz w:val="22"/>
          <w:szCs w:val="22"/>
          <w:u w:val="single"/>
          <w:lang w:eastAsia="en-US"/>
        </w:rPr>
        <w:t>unânime dos Estados representados</w:t>
      </w:r>
      <w:r w:rsidRPr="00C57187">
        <w:rPr>
          <w:rFonts w:eastAsia="Calibri"/>
          <w:i/>
          <w:color w:val="000000"/>
          <w:sz w:val="22"/>
          <w:szCs w:val="22"/>
          <w:lang w:eastAsia="en-US"/>
        </w:rPr>
        <w:t>; a sua revogação total ou parcial dependerá de aprovação de quatro quintos, pelo menos, dos representantes presentes.</w:t>
      </w:r>
    </w:p>
    <w:p w14:paraId="27AE4B49" w14:textId="77777777" w:rsidR="00C57187" w:rsidRPr="00C57187" w:rsidRDefault="00C57187" w:rsidP="00C57187">
      <w:pPr>
        <w:spacing w:after="200" w:line="360" w:lineRule="auto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C57187">
        <w:rPr>
          <w:rFonts w:eastAsia="Calibri"/>
          <w:sz w:val="22"/>
          <w:szCs w:val="22"/>
          <w:lang w:eastAsia="en-US"/>
        </w:rPr>
        <w:t xml:space="preserve">Os convênios firmados no âmbito do Confaz expressam a necessidade de solução para preservação da autonomia dos entes regionais, sem colocar em risco a unidade econômica e financeira da federação, no contexto de um tributo de caráter nacional. Por esse prisma, limita-se a autonomia dos entes federados em prol do equilíbrio do pacto federativo. </w:t>
      </w:r>
    </w:p>
    <w:p w14:paraId="420781B8" w14:textId="77777777" w:rsidR="00C57187" w:rsidRPr="00C57187" w:rsidRDefault="00C57187" w:rsidP="00C57187">
      <w:pPr>
        <w:spacing w:after="200" w:line="360" w:lineRule="auto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C57187">
        <w:rPr>
          <w:rFonts w:eastAsia="Calibri"/>
          <w:sz w:val="22"/>
          <w:szCs w:val="22"/>
          <w:lang w:eastAsia="en-US"/>
        </w:rPr>
        <w:t>Analisando-se o caso, verifica-se que o Convênio 169/2017, autoriza a concessão de moratória em caso de decretação de calamidade pública.</w:t>
      </w:r>
    </w:p>
    <w:p w14:paraId="1986D5AE" w14:textId="77777777" w:rsidR="00C57187" w:rsidRPr="00C57187" w:rsidRDefault="00C57187" w:rsidP="00C57187">
      <w:pPr>
        <w:spacing w:after="200" w:line="360" w:lineRule="auto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C57187">
        <w:rPr>
          <w:rFonts w:eastAsia="Calibri"/>
          <w:sz w:val="22"/>
          <w:szCs w:val="22"/>
          <w:lang w:eastAsia="en-US"/>
        </w:rPr>
        <w:t>Porém, a cláusula quinta do referido convênio traz duas hipóteses:</w:t>
      </w:r>
    </w:p>
    <w:p w14:paraId="64C03ADE" w14:textId="77777777" w:rsidR="00C57187" w:rsidRPr="00C57187" w:rsidRDefault="00C57187" w:rsidP="00C57187">
      <w:pPr>
        <w:spacing w:after="140" w:line="360" w:lineRule="auto"/>
        <w:ind w:left="2268"/>
        <w:jc w:val="both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C57187">
        <w:rPr>
          <w:rFonts w:eastAsia="Calibri"/>
          <w:b/>
          <w:i/>
          <w:iCs/>
          <w:color w:val="000000"/>
          <w:sz w:val="22"/>
          <w:szCs w:val="22"/>
          <w:lang w:eastAsia="en-US"/>
        </w:rPr>
        <w:t>Cláusula quinta</w:t>
      </w:r>
      <w:r w:rsidRPr="00C57187">
        <w:rPr>
          <w:rFonts w:eastAsia="Calibri"/>
          <w:i/>
          <w:iCs/>
          <w:color w:val="000000"/>
          <w:sz w:val="22"/>
          <w:szCs w:val="22"/>
          <w:lang w:eastAsia="en-US"/>
        </w:rPr>
        <w:t> Quanto à moratória e ao parcelamento, é facultado:</w:t>
      </w:r>
    </w:p>
    <w:p w14:paraId="3D9F3B81" w14:textId="77777777" w:rsidR="00C57187" w:rsidRPr="00C57187" w:rsidRDefault="00C57187" w:rsidP="00C57187">
      <w:pPr>
        <w:spacing w:before="60" w:after="120" w:line="276" w:lineRule="auto"/>
        <w:ind w:left="2268" w:firstLine="57"/>
        <w:jc w:val="both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C57187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I - </w:t>
      </w:r>
      <w:proofErr w:type="gramStart"/>
      <w:r w:rsidRPr="00C57187">
        <w:rPr>
          <w:rFonts w:eastAsia="Calibri"/>
          <w:i/>
          <w:iCs/>
          <w:color w:val="000000"/>
          <w:sz w:val="22"/>
          <w:szCs w:val="22"/>
          <w:lang w:eastAsia="en-US"/>
        </w:rPr>
        <w:t>reabrir</w:t>
      </w:r>
      <w:proofErr w:type="gramEnd"/>
      <w:r w:rsidRPr="00C57187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o prazo de pagamento do imposto vencido, sem quaisquer acréscimos, aos sujeitos passivos vítimas de calamidade pública, assim declarada por ato expresso da autoridade competente;</w:t>
      </w:r>
      <w:bookmarkStart w:id="2" w:name="C24CL2b"/>
      <w:bookmarkEnd w:id="2"/>
    </w:p>
    <w:p w14:paraId="20BA8A13" w14:textId="77777777" w:rsidR="00C57187" w:rsidRPr="00C57187" w:rsidRDefault="00C57187" w:rsidP="00C57187">
      <w:pPr>
        <w:spacing w:before="60" w:after="120" w:line="276" w:lineRule="auto"/>
        <w:ind w:left="2324"/>
        <w:jc w:val="both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C57187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II - </w:t>
      </w:r>
      <w:proofErr w:type="gramStart"/>
      <w:r w:rsidRPr="00C57187">
        <w:rPr>
          <w:rFonts w:eastAsia="Calibri"/>
          <w:i/>
          <w:iCs/>
          <w:color w:val="000000"/>
          <w:sz w:val="22"/>
          <w:szCs w:val="22"/>
          <w:lang w:eastAsia="en-US"/>
        </w:rPr>
        <w:t>conceder</w:t>
      </w:r>
      <w:proofErr w:type="gramEnd"/>
      <w:r w:rsidRPr="00C57187">
        <w:rPr>
          <w:rFonts w:eastAsia="Calibri"/>
          <w:i/>
          <w:iCs/>
          <w:color w:val="000000"/>
          <w:sz w:val="22"/>
          <w:szCs w:val="22"/>
          <w:lang w:eastAsia="en-US"/>
        </w:rPr>
        <w:t xml:space="preserve"> parcelamento de créditos tributários decorrentes de procedimentos administrativos, inclusive confissões de dívida, na esfera administrativa ou judicial, em até 60 (sessenta) prestações mensais, iguais e sucessivas, acrescidos de multa, juros e correção monetária sobre as prestações vincendas.</w:t>
      </w:r>
    </w:p>
    <w:p w14:paraId="2F4FB5F2" w14:textId="77777777" w:rsidR="00C57187" w:rsidRPr="00C57187" w:rsidRDefault="00C57187" w:rsidP="00C57187">
      <w:pPr>
        <w:spacing w:after="200" w:line="360" w:lineRule="auto"/>
        <w:ind w:firstLine="2268"/>
        <w:jc w:val="both"/>
        <w:rPr>
          <w:rFonts w:eastAsia="Calibri"/>
          <w:sz w:val="22"/>
          <w:szCs w:val="22"/>
          <w:lang w:eastAsia="en-US"/>
        </w:rPr>
      </w:pPr>
    </w:p>
    <w:p w14:paraId="2003E3DA" w14:textId="77777777" w:rsidR="00C57187" w:rsidRPr="00C57187" w:rsidRDefault="00C57187" w:rsidP="00C57187">
      <w:pPr>
        <w:spacing w:after="200" w:line="360" w:lineRule="auto"/>
        <w:ind w:firstLine="1134"/>
        <w:jc w:val="both"/>
        <w:rPr>
          <w:rFonts w:eastAsia="Calibri"/>
          <w:sz w:val="22"/>
          <w:szCs w:val="22"/>
          <w:lang w:eastAsia="en-US"/>
        </w:rPr>
      </w:pPr>
      <w:r w:rsidRPr="00C57187">
        <w:rPr>
          <w:rFonts w:eastAsia="Calibri"/>
          <w:sz w:val="22"/>
          <w:szCs w:val="22"/>
          <w:lang w:eastAsia="en-US"/>
        </w:rPr>
        <w:t xml:space="preserve">Dessa feita, observa-se que apenas a reabertura de prazo para pagamento de imposto está autorizada em caso de calamidade pública, entretanto, o parcelamento (caso do item II da cláusula quinta) não inclui calamidade pública como permissivo de sua concessão. </w:t>
      </w:r>
    </w:p>
    <w:p w14:paraId="1DBCDBBA" w14:textId="2376315D" w:rsidR="00FE03C2" w:rsidRPr="0087089B" w:rsidRDefault="00C57187" w:rsidP="00C57187">
      <w:pPr>
        <w:spacing w:after="200" w:line="360" w:lineRule="auto"/>
        <w:ind w:firstLine="1134"/>
        <w:jc w:val="both"/>
        <w:rPr>
          <w:sz w:val="22"/>
          <w:szCs w:val="22"/>
        </w:rPr>
      </w:pPr>
      <w:r w:rsidRPr="00C57187">
        <w:rPr>
          <w:rFonts w:eastAsia="Calibri"/>
          <w:sz w:val="22"/>
          <w:szCs w:val="22"/>
          <w:lang w:eastAsia="en-US"/>
        </w:rPr>
        <w:lastRenderedPageBreak/>
        <w:t>Sendo assim, como o presente projeto não trata de moratória propriamente dita, mas de uma medida híbrida, ainda mais benéfica, entre parcelamento e moratória em função da calamidade pública, necessitaria de convênio específico para a aprovação de tal projeto, consoante parágrafo primeiro da cláusula primeira do mesmo Convênio 169/2017.</w:t>
      </w:r>
      <w:r w:rsidR="00FE03C2">
        <w:rPr>
          <w:sz w:val="22"/>
          <w:szCs w:val="22"/>
        </w:rPr>
        <w:t xml:space="preserve">   </w:t>
      </w:r>
    </w:p>
    <w:p w14:paraId="71462F75" w14:textId="15ECE03B" w:rsidR="00FE03C2" w:rsidRDefault="00FE03C2" w:rsidP="00C57187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b/>
          <w:sz w:val="22"/>
          <w:szCs w:val="22"/>
          <w:u w:val="single"/>
        </w:rPr>
      </w:pPr>
      <w:r>
        <w:rPr>
          <w:rFonts w:cs="ArialMT"/>
          <w:color w:val="000000" w:themeColor="text1"/>
          <w:sz w:val="22"/>
          <w:szCs w:val="22"/>
        </w:rPr>
        <w:t xml:space="preserve">Não há, pois, como contornar o obstáculo antedito, que assume as feições de uma típica inconstitucionalidade formal, cujos efeitos, não custa repetir, fulminam integralmente a proposição.  </w:t>
      </w:r>
      <w:r w:rsidRPr="00877EDF">
        <w:rPr>
          <w:rFonts w:cs="ArialMT"/>
          <w:color w:val="000000" w:themeColor="text1"/>
          <w:sz w:val="22"/>
          <w:szCs w:val="22"/>
        </w:rPr>
        <w:t xml:space="preserve">Sendo assim, </w:t>
      </w:r>
      <w:r>
        <w:rPr>
          <w:rFonts w:cs="ArialMT"/>
          <w:color w:val="000000" w:themeColor="text1"/>
          <w:sz w:val="22"/>
          <w:szCs w:val="22"/>
        </w:rPr>
        <w:t xml:space="preserve">nota-se que a proposição em epígrafe, malgrado os elevados propósitos do autor, confronta com os ditames constitucionais </w:t>
      </w:r>
      <w:r w:rsidR="00C57187">
        <w:rPr>
          <w:rFonts w:cs="ArialMT"/>
          <w:color w:val="000000" w:themeColor="text1"/>
          <w:sz w:val="22"/>
          <w:szCs w:val="22"/>
        </w:rPr>
        <w:t xml:space="preserve">e infraconstitucionais </w:t>
      </w:r>
      <w:r>
        <w:rPr>
          <w:rFonts w:cs="ArialMT"/>
          <w:color w:val="000000" w:themeColor="text1"/>
          <w:sz w:val="22"/>
          <w:szCs w:val="22"/>
        </w:rPr>
        <w:t xml:space="preserve">acima citados. </w:t>
      </w:r>
    </w:p>
    <w:p w14:paraId="2C978C63" w14:textId="77777777" w:rsidR="00FE03C2" w:rsidRDefault="00FE03C2" w:rsidP="00FE03C2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4CF16AFC" w14:textId="77777777" w:rsidR="00FE03C2" w:rsidRPr="00143242" w:rsidRDefault="00FE03C2" w:rsidP="00FE03C2">
      <w:pPr>
        <w:spacing w:line="360" w:lineRule="auto"/>
        <w:jc w:val="both"/>
        <w:rPr>
          <w:b/>
          <w:sz w:val="22"/>
          <w:szCs w:val="22"/>
        </w:rPr>
      </w:pPr>
      <w:r w:rsidRPr="00143242">
        <w:rPr>
          <w:b/>
          <w:sz w:val="22"/>
          <w:szCs w:val="22"/>
          <w:u w:val="single"/>
        </w:rPr>
        <w:t>VOTO DO RELATOR</w:t>
      </w:r>
      <w:r w:rsidRPr="00143242">
        <w:rPr>
          <w:b/>
          <w:sz w:val="22"/>
          <w:szCs w:val="22"/>
        </w:rPr>
        <w:t>:</w:t>
      </w:r>
    </w:p>
    <w:p w14:paraId="64A22827" w14:textId="77777777" w:rsidR="00FE03C2" w:rsidRPr="00143242" w:rsidRDefault="00FE03C2" w:rsidP="00FE03C2">
      <w:pPr>
        <w:pStyle w:val="Recuodecorpodetexto"/>
        <w:ind w:right="191"/>
        <w:rPr>
          <w:rFonts w:ascii="Times New Roman" w:hAnsi="Times New Roman"/>
          <w:sz w:val="22"/>
          <w:szCs w:val="22"/>
        </w:rPr>
      </w:pPr>
    </w:p>
    <w:p w14:paraId="3BEB3B82" w14:textId="429E61BC" w:rsidR="00FE03C2" w:rsidRPr="00143242" w:rsidRDefault="00FE03C2" w:rsidP="00FE03C2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rFonts w:cs="ArialMT"/>
          <w:color w:val="000000" w:themeColor="text1"/>
          <w:sz w:val="22"/>
          <w:szCs w:val="22"/>
        </w:rPr>
      </w:pPr>
      <w:r>
        <w:rPr>
          <w:rFonts w:cs="ArialMT"/>
          <w:color w:val="000000" w:themeColor="text1"/>
          <w:sz w:val="22"/>
          <w:szCs w:val="22"/>
        </w:rPr>
        <w:t>Diante do exposto</w:t>
      </w:r>
      <w:r w:rsidRPr="00143242">
        <w:rPr>
          <w:rFonts w:cs="ArialMT"/>
          <w:color w:val="000000" w:themeColor="text1"/>
          <w:sz w:val="22"/>
          <w:szCs w:val="22"/>
        </w:rPr>
        <w:t xml:space="preserve">, </w:t>
      </w:r>
      <w:r w:rsidRPr="00143242">
        <w:rPr>
          <w:rFonts w:cs="ArialMT"/>
          <w:b/>
          <w:color w:val="000000" w:themeColor="text1"/>
          <w:sz w:val="22"/>
          <w:szCs w:val="22"/>
        </w:rPr>
        <w:t xml:space="preserve">opina-se pela rejeição do Projeto de Lei nº </w:t>
      </w:r>
      <w:r>
        <w:rPr>
          <w:rFonts w:cs="ArialMT"/>
          <w:b/>
          <w:color w:val="000000" w:themeColor="text1"/>
          <w:sz w:val="22"/>
          <w:szCs w:val="22"/>
        </w:rPr>
        <w:t>117</w:t>
      </w:r>
      <w:r w:rsidRPr="00143242">
        <w:rPr>
          <w:rFonts w:cs="ArialMT"/>
          <w:b/>
          <w:color w:val="000000" w:themeColor="text1"/>
          <w:sz w:val="22"/>
          <w:szCs w:val="22"/>
        </w:rPr>
        <w:t>/20</w:t>
      </w:r>
      <w:r>
        <w:rPr>
          <w:rFonts w:cs="ArialMT"/>
          <w:b/>
          <w:color w:val="000000" w:themeColor="text1"/>
          <w:sz w:val="22"/>
          <w:szCs w:val="22"/>
        </w:rPr>
        <w:t>20</w:t>
      </w:r>
      <w:r w:rsidRPr="00143242">
        <w:rPr>
          <w:rFonts w:cs="ArialMT"/>
          <w:color w:val="000000" w:themeColor="text1"/>
          <w:sz w:val="22"/>
          <w:szCs w:val="22"/>
        </w:rPr>
        <w:t xml:space="preserve">, por encontra-se eivado de </w:t>
      </w:r>
      <w:r w:rsidRPr="00143242">
        <w:rPr>
          <w:rFonts w:cs="ArialMT"/>
          <w:b/>
          <w:color w:val="000000" w:themeColor="text1"/>
          <w:sz w:val="22"/>
          <w:szCs w:val="22"/>
        </w:rPr>
        <w:t>inconstitucionalidade.</w:t>
      </w:r>
    </w:p>
    <w:p w14:paraId="4A56ADD0" w14:textId="77777777" w:rsidR="00FE03C2" w:rsidRPr="00143242" w:rsidRDefault="00FE03C2" w:rsidP="00FE03C2">
      <w:pPr>
        <w:pStyle w:val="Recuodecorpodetexto"/>
        <w:ind w:right="191"/>
        <w:rPr>
          <w:rFonts w:ascii="Times New Roman" w:hAnsi="Times New Roman"/>
          <w:sz w:val="22"/>
          <w:szCs w:val="22"/>
        </w:rPr>
      </w:pPr>
      <w:r w:rsidRPr="00143242">
        <w:rPr>
          <w:rFonts w:ascii="Times New Roman" w:hAnsi="Times New Roman"/>
          <w:sz w:val="22"/>
          <w:szCs w:val="22"/>
        </w:rPr>
        <w:t>É o voto.</w:t>
      </w:r>
    </w:p>
    <w:p w14:paraId="7A56D841" w14:textId="2625C1F9" w:rsidR="00FE03C2" w:rsidRDefault="00FE03C2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118F377D" w14:textId="085084F2" w:rsidR="00FE03C2" w:rsidRDefault="00FE03C2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1408E852" w14:textId="34C5524E" w:rsidR="00C57187" w:rsidRDefault="00C57187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10F33CE0" w14:textId="5E731C3D" w:rsidR="00C57187" w:rsidRDefault="00C57187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010F3937" w14:textId="4012996B" w:rsidR="00C57187" w:rsidRDefault="00C57187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24947EAE" w14:textId="6FCCB239" w:rsidR="00C57187" w:rsidRDefault="00C57187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1ADE2CD2" w14:textId="586A2E5B" w:rsidR="00C57187" w:rsidRDefault="00C57187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7C81507E" w14:textId="07F9E026" w:rsidR="00C57187" w:rsidRDefault="00C57187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1818B459" w14:textId="06CB8A0F" w:rsidR="00C57187" w:rsidRDefault="00C57187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497C1F1D" w14:textId="39C2882F" w:rsidR="00C57187" w:rsidRDefault="00C57187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76EF3515" w14:textId="51D467CE" w:rsidR="00C57187" w:rsidRDefault="00C57187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5C9F295E" w14:textId="6102EBB0" w:rsidR="00C57187" w:rsidRDefault="00C57187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4818B865" w14:textId="7766E563" w:rsidR="00C57187" w:rsidRDefault="00C57187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417AF9FB" w14:textId="25D4E522" w:rsidR="00C57187" w:rsidRDefault="00C57187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7366FFBF" w14:textId="77777777" w:rsidR="00C57187" w:rsidRDefault="00C57187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30A15C9E" w14:textId="396AE54D" w:rsidR="00FE03C2" w:rsidRDefault="00FE03C2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54EB94E3" w14:textId="6CBBA11A" w:rsidR="00FE03C2" w:rsidRDefault="00FE03C2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75205E13" w14:textId="75C5F403" w:rsidR="00FE03C2" w:rsidRDefault="00FE03C2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462F13B2" w14:textId="17137034" w:rsidR="00FE03C2" w:rsidRDefault="00FE03C2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5FC43AE1" w14:textId="0613A83A" w:rsidR="00FE03C2" w:rsidRDefault="00FE03C2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3B296E6B" w14:textId="3F7DE54C" w:rsidR="00FE03C2" w:rsidRDefault="00FE03C2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5BD27A10" w14:textId="34A18F68" w:rsidR="00FE03C2" w:rsidRDefault="00FE03C2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35074938" w14:textId="7390CB46" w:rsidR="00FE03C2" w:rsidRDefault="00FE03C2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14D325C8" w14:textId="77777777" w:rsidR="00FE03C2" w:rsidRPr="00143242" w:rsidRDefault="00FE03C2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70B331B1" w14:textId="77777777" w:rsidR="00FE03C2" w:rsidRDefault="00FE03C2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  <w:u w:val="single"/>
        </w:rPr>
      </w:pPr>
    </w:p>
    <w:p w14:paraId="25864BB6" w14:textId="77777777" w:rsidR="00FE03C2" w:rsidRPr="00143242" w:rsidRDefault="00FE03C2" w:rsidP="00FE03C2">
      <w:pPr>
        <w:pStyle w:val="Recuodecorpodetexto"/>
        <w:ind w:right="191" w:firstLine="0"/>
        <w:rPr>
          <w:rFonts w:ascii="Times New Roman" w:hAnsi="Times New Roman"/>
          <w:b/>
          <w:sz w:val="22"/>
          <w:szCs w:val="22"/>
        </w:rPr>
      </w:pPr>
      <w:r w:rsidRPr="00143242">
        <w:rPr>
          <w:rFonts w:ascii="Times New Roman" w:hAnsi="Times New Roman"/>
          <w:b/>
          <w:sz w:val="22"/>
          <w:szCs w:val="22"/>
          <w:u w:val="single"/>
        </w:rPr>
        <w:lastRenderedPageBreak/>
        <w:t xml:space="preserve">PARECER DA COMISSÃO: </w:t>
      </w:r>
    </w:p>
    <w:p w14:paraId="2C135B10" w14:textId="77777777" w:rsidR="00FE03C2" w:rsidRPr="002E697C" w:rsidRDefault="00FE03C2" w:rsidP="00FE03C2">
      <w:pPr>
        <w:pStyle w:val="Recuodecorpodetexto"/>
        <w:rPr>
          <w:rFonts w:ascii="Times New Roman" w:hAnsi="Times New Roman"/>
          <w:sz w:val="22"/>
          <w:szCs w:val="22"/>
        </w:rPr>
      </w:pPr>
    </w:p>
    <w:p w14:paraId="7D993566" w14:textId="0D3FB524" w:rsidR="00FE03C2" w:rsidRPr="006754A4" w:rsidRDefault="00FE03C2" w:rsidP="00C57187">
      <w:pPr>
        <w:spacing w:line="360" w:lineRule="auto"/>
        <w:ind w:firstLine="1134"/>
        <w:jc w:val="both"/>
        <w:rPr>
          <w:sz w:val="22"/>
          <w:szCs w:val="22"/>
        </w:rPr>
      </w:pPr>
      <w:r w:rsidRPr="006754A4">
        <w:rPr>
          <w:rFonts w:eastAsia="Calibri"/>
          <w:sz w:val="22"/>
          <w:szCs w:val="22"/>
        </w:rPr>
        <w:t xml:space="preserve">Os membros da Comissão de Constituição, Justiça e Cidadania, </w:t>
      </w:r>
      <w:r w:rsidRPr="006754A4">
        <w:rPr>
          <w:bCs/>
          <w:kern w:val="32"/>
          <w:sz w:val="22"/>
          <w:szCs w:val="22"/>
        </w:rPr>
        <w:t xml:space="preserve">votam pela </w:t>
      </w:r>
      <w:r w:rsidRPr="006754A4">
        <w:rPr>
          <w:b/>
          <w:sz w:val="22"/>
          <w:szCs w:val="22"/>
        </w:rPr>
        <w:t>rejeição</w:t>
      </w:r>
      <w:r w:rsidRPr="006754A4">
        <w:rPr>
          <w:sz w:val="22"/>
          <w:szCs w:val="22"/>
        </w:rPr>
        <w:t xml:space="preserve"> </w:t>
      </w:r>
      <w:r w:rsidRPr="006754A4">
        <w:rPr>
          <w:b/>
          <w:sz w:val="22"/>
          <w:szCs w:val="22"/>
        </w:rPr>
        <w:t>do Projeto de Lei n.º 1</w:t>
      </w:r>
      <w:r>
        <w:rPr>
          <w:b/>
          <w:sz w:val="22"/>
          <w:szCs w:val="22"/>
        </w:rPr>
        <w:t>17</w:t>
      </w:r>
      <w:r w:rsidRPr="006754A4">
        <w:rPr>
          <w:b/>
          <w:sz w:val="22"/>
          <w:szCs w:val="22"/>
        </w:rPr>
        <w:t>/2020</w:t>
      </w:r>
      <w:r w:rsidRPr="006754A4">
        <w:rPr>
          <w:sz w:val="22"/>
          <w:szCs w:val="22"/>
        </w:rPr>
        <w:t>, nos termos do voto do Relator.</w:t>
      </w:r>
    </w:p>
    <w:p w14:paraId="79A279EB" w14:textId="77777777" w:rsidR="00FE03C2" w:rsidRPr="00143242" w:rsidRDefault="00FE03C2" w:rsidP="00FE03C2">
      <w:pPr>
        <w:pStyle w:val="Recuodecorpodetexto"/>
        <w:rPr>
          <w:rFonts w:ascii="Times New Roman" w:hAnsi="Times New Roman"/>
          <w:sz w:val="22"/>
          <w:szCs w:val="22"/>
        </w:rPr>
      </w:pPr>
    </w:p>
    <w:p w14:paraId="692C33EA" w14:textId="77777777" w:rsidR="00FE03C2" w:rsidRPr="00143242" w:rsidRDefault="00FE03C2" w:rsidP="00C57187">
      <w:pPr>
        <w:pStyle w:val="Recuodecorpodetexto"/>
        <w:rPr>
          <w:rFonts w:ascii="Times New Roman" w:hAnsi="Times New Roman"/>
          <w:sz w:val="22"/>
          <w:szCs w:val="22"/>
        </w:rPr>
      </w:pPr>
      <w:r w:rsidRPr="00143242">
        <w:rPr>
          <w:rFonts w:ascii="Times New Roman" w:hAnsi="Times New Roman"/>
          <w:sz w:val="22"/>
          <w:szCs w:val="22"/>
        </w:rPr>
        <w:t>É o parecer.</w:t>
      </w:r>
    </w:p>
    <w:p w14:paraId="5FD08879" w14:textId="77777777" w:rsidR="00FE03C2" w:rsidRPr="00143242" w:rsidRDefault="00FE03C2" w:rsidP="00C57187">
      <w:pPr>
        <w:pStyle w:val="Recuodecorpodetexto"/>
        <w:rPr>
          <w:rFonts w:ascii="Times New Roman" w:hAnsi="Times New Roman"/>
          <w:sz w:val="22"/>
          <w:szCs w:val="22"/>
        </w:rPr>
      </w:pPr>
    </w:p>
    <w:p w14:paraId="5E107C72" w14:textId="6EDF8F92" w:rsidR="00FE03C2" w:rsidRPr="00FD0AED" w:rsidRDefault="00FE03C2" w:rsidP="00C57187">
      <w:pPr>
        <w:spacing w:line="360" w:lineRule="auto"/>
        <w:ind w:firstLine="1134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</w:t>
      </w:r>
      <w:r w:rsidRPr="00FD0AED">
        <w:rPr>
          <w:rFonts w:eastAsia="Calibri"/>
          <w:sz w:val="22"/>
          <w:szCs w:val="22"/>
        </w:rPr>
        <w:t xml:space="preserve">SALA DAS COMISSÕES “DEPUTADO LÉO FRANKLIM”, em </w:t>
      </w:r>
      <w:r w:rsidR="00C57187">
        <w:rPr>
          <w:rFonts w:eastAsia="Calibri"/>
          <w:sz w:val="22"/>
          <w:szCs w:val="22"/>
        </w:rPr>
        <w:t>04</w:t>
      </w:r>
      <w:r>
        <w:rPr>
          <w:rFonts w:eastAsia="Calibri"/>
          <w:sz w:val="24"/>
          <w:szCs w:val="24"/>
        </w:rPr>
        <w:t xml:space="preserve"> </w:t>
      </w:r>
      <w:r w:rsidRPr="00FD0AED">
        <w:rPr>
          <w:rFonts w:eastAsia="Calibri"/>
          <w:sz w:val="24"/>
          <w:szCs w:val="24"/>
        </w:rPr>
        <w:t xml:space="preserve">de </w:t>
      </w:r>
      <w:r w:rsidR="00C57187">
        <w:rPr>
          <w:rFonts w:eastAsia="Calibri"/>
          <w:sz w:val="24"/>
          <w:szCs w:val="24"/>
        </w:rPr>
        <w:t>agosto</w:t>
      </w:r>
      <w:r w:rsidRPr="00FD0AED">
        <w:rPr>
          <w:rFonts w:eastAsia="Calibri"/>
          <w:sz w:val="24"/>
          <w:szCs w:val="24"/>
        </w:rPr>
        <w:t xml:space="preserve"> </w:t>
      </w:r>
      <w:r w:rsidRPr="00FD0AED">
        <w:rPr>
          <w:rFonts w:eastAsia="Calibri"/>
          <w:sz w:val="22"/>
          <w:szCs w:val="22"/>
        </w:rPr>
        <w:t xml:space="preserve">de 2020.    </w:t>
      </w:r>
    </w:p>
    <w:p w14:paraId="74129A12" w14:textId="0D3B5137" w:rsidR="00FE03C2" w:rsidRPr="00143242" w:rsidRDefault="00FE03C2" w:rsidP="00C57187">
      <w:pPr>
        <w:ind w:left="3119"/>
        <w:rPr>
          <w:sz w:val="22"/>
          <w:szCs w:val="22"/>
        </w:rPr>
      </w:pPr>
      <w:r w:rsidRPr="00143242">
        <w:rPr>
          <w:sz w:val="22"/>
          <w:szCs w:val="22"/>
        </w:rPr>
        <w:t xml:space="preserve">                </w:t>
      </w:r>
      <w:r w:rsidRPr="00143242">
        <w:rPr>
          <w:rFonts w:eastAsia="Calibri"/>
          <w:sz w:val="22"/>
          <w:szCs w:val="22"/>
          <w:lang w:eastAsia="en-US"/>
        </w:rPr>
        <w:t xml:space="preserve"> </w:t>
      </w:r>
      <w:r w:rsidRPr="00143242">
        <w:rPr>
          <w:rFonts w:eastAsia="Calibri"/>
          <w:color w:val="000000"/>
          <w:sz w:val="22"/>
          <w:szCs w:val="22"/>
          <w:lang w:eastAsia="en-US"/>
        </w:rPr>
        <w:t xml:space="preserve">                         </w:t>
      </w:r>
      <w:r w:rsidRPr="00143242">
        <w:rPr>
          <w:color w:val="000000"/>
          <w:sz w:val="22"/>
          <w:szCs w:val="22"/>
        </w:rPr>
        <w:t xml:space="preserve">                            </w:t>
      </w:r>
    </w:p>
    <w:p w14:paraId="0BD5FBB9" w14:textId="129D0C64" w:rsidR="00CB76D9" w:rsidRPr="00CB76D9" w:rsidRDefault="00FE03C2" w:rsidP="00CB76D9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43242">
        <w:rPr>
          <w:rFonts w:eastAsia="Calibri"/>
          <w:b/>
          <w:sz w:val="22"/>
          <w:szCs w:val="22"/>
        </w:rPr>
        <w:t xml:space="preserve"> </w:t>
      </w:r>
      <w:r w:rsidRPr="00143242">
        <w:rPr>
          <w:rFonts w:eastAsia="Calibri"/>
          <w:b/>
          <w:color w:val="000000"/>
          <w:sz w:val="22"/>
          <w:szCs w:val="22"/>
        </w:rPr>
        <w:t xml:space="preserve">                         </w:t>
      </w:r>
      <w:r w:rsidRPr="00143242">
        <w:rPr>
          <w:b/>
          <w:color w:val="000000"/>
          <w:sz w:val="22"/>
          <w:szCs w:val="22"/>
        </w:rPr>
        <w:t xml:space="preserve">                               </w:t>
      </w:r>
      <w:r w:rsidR="00CB76D9" w:rsidRPr="00CB76D9">
        <w:rPr>
          <w:rFonts w:eastAsia="Calibri"/>
          <w:b/>
          <w:color w:val="000000"/>
          <w:sz w:val="24"/>
          <w:szCs w:val="24"/>
        </w:rPr>
        <w:t xml:space="preserve">            Presidente, em exercício: </w:t>
      </w:r>
      <w:r w:rsidR="00CB76D9" w:rsidRPr="00CB76D9">
        <w:rPr>
          <w:rFonts w:eastAsia="Calibri"/>
          <w:color w:val="000000"/>
          <w:sz w:val="24"/>
          <w:szCs w:val="24"/>
        </w:rPr>
        <w:t>Deputado Rafael Leitoa</w:t>
      </w:r>
    </w:p>
    <w:p w14:paraId="2B269F95" w14:textId="54AFFC4B" w:rsidR="00CB76D9" w:rsidRPr="00CB76D9" w:rsidRDefault="00CB76D9" w:rsidP="00CB76D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</w:rPr>
      </w:pPr>
      <w:r w:rsidRPr="00CB76D9">
        <w:rPr>
          <w:rFonts w:eastAsia="Calibri"/>
          <w:color w:val="000000"/>
          <w:sz w:val="24"/>
          <w:szCs w:val="24"/>
        </w:rPr>
        <w:t xml:space="preserve">                                                </w:t>
      </w:r>
      <w:r>
        <w:rPr>
          <w:rFonts w:eastAsia="Calibri"/>
          <w:color w:val="000000"/>
          <w:sz w:val="24"/>
          <w:szCs w:val="24"/>
        </w:rPr>
        <w:t xml:space="preserve">          </w:t>
      </w:r>
      <w:r w:rsidRPr="00CB76D9">
        <w:rPr>
          <w:rFonts w:eastAsia="Calibri"/>
          <w:color w:val="000000"/>
          <w:sz w:val="24"/>
          <w:szCs w:val="24"/>
        </w:rPr>
        <w:t xml:space="preserve"> </w:t>
      </w:r>
      <w:r w:rsidRPr="00CB76D9">
        <w:rPr>
          <w:rFonts w:eastAsia="Calibri"/>
          <w:b/>
          <w:color w:val="000000"/>
          <w:sz w:val="24"/>
          <w:szCs w:val="24"/>
        </w:rPr>
        <w:t>Relator</w:t>
      </w:r>
      <w:r w:rsidRPr="00CB76D9">
        <w:rPr>
          <w:rFonts w:eastAsia="Calibri"/>
          <w:color w:val="000000"/>
          <w:sz w:val="24"/>
          <w:szCs w:val="24"/>
        </w:rPr>
        <w:t>: Deputado Rafael Leitoa</w:t>
      </w:r>
    </w:p>
    <w:p w14:paraId="03C4D386" w14:textId="77777777" w:rsidR="00CB76D9" w:rsidRPr="00CB76D9" w:rsidRDefault="00CB76D9" w:rsidP="00CB76D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="Calibri"/>
          <w:color w:val="000000"/>
          <w:sz w:val="24"/>
          <w:szCs w:val="24"/>
        </w:rPr>
      </w:pPr>
      <w:r w:rsidRPr="00CB76D9">
        <w:rPr>
          <w:rFonts w:eastAsia="Calibri"/>
          <w:color w:val="000000"/>
          <w:sz w:val="24"/>
          <w:szCs w:val="24"/>
        </w:rPr>
        <w:t xml:space="preserve">                                                           </w:t>
      </w:r>
    </w:p>
    <w:p w14:paraId="30F37E98" w14:textId="77777777" w:rsidR="00CB76D9" w:rsidRPr="00CB76D9" w:rsidRDefault="00CB76D9" w:rsidP="00CB76D9">
      <w:pPr>
        <w:autoSpaceDE w:val="0"/>
        <w:autoSpaceDN w:val="0"/>
        <w:adjustRightInd w:val="0"/>
        <w:spacing w:line="360" w:lineRule="auto"/>
        <w:ind w:firstLine="3686"/>
        <w:jc w:val="both"/>
        <w:rPr>
          <w:rFonts w:eastAsia="Calibri"/>
          <w:color w:val="000000"/>
          <w:sz w:val="24"/>
          <w:szCs w:val="24"/>
        </w:rPr>
      </w:pPr>
    </w:p>
    <w:p w14:paraId="084C4891" w14:textId="77777777" w:rsidR="00CB76D9" w:rsidRPr="00CB76D9" w:rsidRDefault="00CB76D9" w:rsidP="00CB76D9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b/>
          <w:color w:val="000000"/>
          <w:sz w:val="24"/>
          <w:szCs w:val="24"/>
        </w:rPr>
      </w:pPr>
      <w:r w:rsidRPr="00CB76D9">
        <w:rPr>
          <w:rFonts w:eastAsia="Calibri"/>
          <w:b/>
          <w:color w:val="000000"/>
          <w:sz w:val="24"/>
          <w:szCs w:val="24"/>
        </w:rPr>
        <w:t xml:space="preserve"> Vota a </w:t>
      </w:r>
      <w:proofErr w:type="gramStart"/>
      <w:r w:rsidRPr="00CB76D9">
        <w:rPr>
          <w:rFonts w:eastAsia="Calibri"/>
          <w:b/>
          <w:color w:val="000000"/>
          <w:sz w:val="24"/>
          <w:szCs w:val="24"/>
        </w:rPr>
        <w:t>favor                                                                    Vota</w:t>
      </w:r>
      <w:proofErr w:type="gramEnd"/>
      <w:r w:rsidRPr="00CB76D9">
        <w:rPr>
          <w:rFonts w:eastAsia="Calibri"/>
          <w:b/>
          <w:color w:val="000000"/>
          <w:sz w:val="24"/>
          <w:szCs w:val="24"/>
        </w:rPr>
        <w:t xml:space="preserve"> contra</w:t>
      </w:r>
    </w:p>
    <w:p w14:paraId="718890C1" w14:textId="77777777" w:rsidR="00CB76D9" w:rsidRPr="00CB76D9" w:rsidRDefault="00CB76D9" w:rsidP="00CB76D9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  <w:sz w:val="24"/>
          <w:szCs w:val="24"/>
        </w:rPr>
      </w:pPr>
      <w:bookmarkStart w:id="3" w:name="_Hlk47421322"/>
      <w:r w:rsidRPr="00CB76D9">
        <w:rPr>
          <w:rFonts w:eastAsia="Calibri"/>
          <w:color w:val="000000"/>
          <w:sz w:val="24"/>
          <w:szCs w:val="24"/>
        </w:rPr>
        <w:t>Deputado Zé Inácio                                                          _________________________</w:t>
      </w:r>
      <w:bookmarkEnd w:id="3"/>
    </w:p>
    <w:p w14:paraId="1F263127" w14:textId="77777777" w:rsidR="00CB76D9" w:rsidRPr="00CB76D9" w:rsidRDefault="00CB76D9" w:rsidP="00CB76D9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  <w:sz w:val="24"/>
          <w:szCs w:val="24"/>
        </w:rPr>
      </w:pPr>
      <w:r w:rsidRPr="00CB76D9">
        <w:rPr>
          <w:rFonts w:eastAsia="Calibri"/>
          <w:color w:val="000000"/>
          <w:sz w:val="24"/>
          <w:szCs w:val="24"/>
        </w:rPr>
        <w:t>Deputado Ciro Neto                                                           _________________________</w:t>
      </w:r>
    </w:p>
    <w:p w14:paraId="17387485" w14:textId="77777777" w:rsidR="00CB76D9" w:rsidRPr="00CB76D9" w:rsidRDefault="00CB76D9" w:rsidP="00CB76D9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  <w:sz w:val="24"/>
          <w:szCs w:val="24"/>
        </w:rPr>
      </w:pPr>
      <w:r w:rsidRPr="00CB76D9">
        <w:rPr>
          <w:rFonts w:eastAsia="Calibri"/>
          <w:color w:val="000000"/>
          <w:sz w:val="24"/>
          <w:szCs w:val="24"/>
        </w:rPr>
        <w:t>Deputado Antônio Pereira                                                 _________________________</w:t>
      </w:r>
    </w:p>
    <w:p w14:paraId="6BDAD380" w14:textId="77777777" w:rsidR="00CB76D9" w:rsidRPr="00CB76D9" w:rsidRDefault="00CB76D9" w:rsidP="00CB76D9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  <w:sz w:val="24"/>
          <w:szCs w:val="24"/>
        </w:rPr>
      </w:pPr>
      <w:r w:rsidRPr="00CB76D9">
        <w:rPr>
          <w:rFonts w:eastAsia="Calibri"/>
          <w:color w:val="000000"/>
          <w:sz w:val="24"/>
          <w:szCs w:val="24"/>
        </w:rPr>
        <w:t>____________________                                                  _________________________</w:t>
      </w:r>
    </w:p>
    <w:p w14:paraId="44F0D6C0" w14:textId="77777777" w:rsidR="00CB76D9" w:rsidRPr="00CB76D9" w:rsidRDefault="00CB76D9" w:rsidP="00CB76D9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sz w:val="22"/>
          <w:szCs w:val="22"/>
          <w:lang w:eastAsia="en-US"/>
        </w:rPr>
      </w:pPr>
      <w:r w:rsidRPr="00CB76D9">
        <w:rPr>
          <w:rFonts w:eastAsia="Calibri"/>
          <w:color w:val="000000"/>
          <w:sz w:val="24"/>
          <w:szCs w:val="24"/>
        </w:rPr>
        <w:t>____________________                                                  _________________________</w:t>
      </w:r>
    </w:p>
    <w:p w14:paraId="666B6A53" w14:textId="77777777" w:rsidR="00CB76D9" w:rsidRPr="00CB76D9" w:rsidRDefault="00CB76D9" w:rsidP="00CB76D9">
      <w:pPr>
        <w:spacing w:line="360" w:lineRule="auto"/>
        <w:ind w:firstLine="851"/>
        <w:jc w:val="both"/>
        <w:rPr>
          <w:rFonts w:eastAsia="Calibri"/>
          <w:sz w:val="22"/>
          <w:szCs w:val="22"/>
          <w:lang w:eastAsia="en-US"/>
        </w:rPr>
      </w:pPr>
    </w:p>
    <w:p w14:paraId="08ADA14C" w14:textId="5E0046CD" w:rsidR="00CB76D9" w:rsidRDefault="00CB76D9" w:rsidP="00CB76D9">
      <w:pPr>
        <w:autoSpaceDE w:val="0"/>
        <w:autoSpaceDN w:val="0"/>
        <w:adjustRightInd w:val="0"/>
        <w:spacing w:line="360" w:lineRule="auto"/>
        <w:ind w:firstLine="709"/>
        <w:jc w:val="both"/>
      </w:pPr>
    </w:p>
    <w:p w14:paraId="5D8DED01" w14:textId="4CF74319" w:rsidR="00FE03C2" w:rsidRDefault="00FE03C2" w:rsidP="00FE03C2">
      <w:pPr>
        <w:autoSpaceDE w:val="0"/>
        <w:autoSpaceDN w:val="0"/>
        <w:adjustRightInd w:val="0"/>
        <w:spacing w:line="360" w:lineRule="auto"/>
        <w:ind w:hanging="284"/>
        <w:jc w:val="both"/>
      </w:pPr>
    </w:p>
    <w:p w14:paraId="28CA2172" w14:textId="77777777" w:rsidR="00FE03C2" w:rsidRDefault="00FE03C2" w:rsidP="00FE03C2"/>
    <w:p w14:paraId="1EB792AC" w14:textId="77777777" w:rsidR="0052698B" w:rsidRDefault="007C4863"/>
    <w:sectPr w:rsidR="0052698B" w:rsidSect="002121BD">
      <w:headerReference w:type="default" r:id="rId6"/>
      <w:pgSz w:w="12240" w:h="15840"/>
      <w:pgMar w:top="993" w:right="1701" w:bottom="1276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DA337" w14:textId="77777777" w:rsidR="00173019" w:rsidRDefault="00C57187">
      <w:r>
        <w:separator/>
      </w:r>
    </w:p>
  </w:endnote>
  <w:endnote w:type="continuationSeparator" w:id="0">
    <w:p w14:paraId="61E72DDC" w14:textId="77777777" w:rsidR="00173019" w:rsidRDefault="00C5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roman"/>
    <w:notTrueType/>
    <w:pitch w:val="default"/>
  </w:font>
  <w:font w:name="Arial-ItalicMT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20A7F" w14:textId="77777777" w:rsidR="00173019" w:rsidRDefault="00C57187">
      <w:r>
        <w:separator/>
      </w:r>
    </w:p>
  </w:footnote>
  <w:footnote w:type="continuationSeparator" w:id="0">
    <w:p w14:paraId="20F42451" w14:textId="77777777" w:rsidR="00173019" w:rsidRDefault="00C57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1E356" w14:textId="77777777" w:rsidR="0065524E" w:rsidRPr="001A7F5E" w:rsidRDefault="00C57187" w:rsidP="00891EA6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69CD7ECB" wp14:editId="0B861F85">
          <wp:extent cx="948690" cy="819150"/>
          <wp:effectExtent l="1905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2B3AAD" w14:textId="77777777" w:rsidR="0065524E" w:rsidRPr="00F47AB4" w:rsidRDefault="00C57187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ESTADO DO MARANHÃO</w:t>
    </w:r>
  </w:p>
  <w:p w14:paraId="2676CFFF" w14:textId="77777777" w:rsidR="0065524E" w:rsidRPr="00F47AB4" w:rsidRDefault="00C57187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ASSEMBLEIA LEGISLATIVA DO MARANHÃO</w:t>
    </w:r>
  </w:p>
  <w:p w14:paraId="3716389D" w14:textId="77777777" w:rsidR="0065524E" w:rsidRPr="004B1F95" w:rsidRDefault="00C57187" w:rsidP="00891EA6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INSTALADA EM 16 DE FEVEREIRO DE 1835</w:t>
    </w:r>
  </w:p>
  <w:p w14:paraId="6A86A3BE" w14:textId="77777777" w:rsidR="0065524E" w:rsidRPr="00F47AB4" w:rsidRDefault="00C57187" w:rsidP="00891EA6">
    <w:pPr>
      <w:pStyle w:val="Cabealho"/>
      <w:jc w:val="center"/>
      <w:rPr>
        <w:rFonts w:ascii="Arial" w:hAnsi="Arial" w:cs="Arial"/>
        <w:sz w:val="18"/>
        <w:szCs w:val="18"/>
      </w:rPr>
    </w:pPr>
    <w:r w:rsidRPr="00F47AB4">
      <w:rPr>
        <w:rFonts w:ascii="Arial" w:hAnsi="Arial" w:cs="Arial"/>
        <w:sz w:val="18"/>
        <w:szCs w:val="18"/>
      </w:rPr>
      <w:t>DIRETORIA LEGISLATIVA</w:t>
    </w:r>
  </w:p>
  <w:p w14:paraId="4A449F84" w14:textId="77777777" w:rsidR="0065524E" w:rsidRDefault="007C48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C2"/>
    <w:rsid w:val="00173019"/>
    <w:rsid w:val="001F2621"/>
    <w:rsid w:val="00620DAB"/>
    <w:rsid w:val="007C4863"/>
    <w:rsid w:val="00C57187"/>
    <w:rsid w:val="00CB76D9"/>
    <w:rsid w:val="00FE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B6954"/>
  <w15:chartTrackingRefBased/>
  <w15:docId w15:val="{35356E0E-1307-4B8A-821B-6903143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03C2"/>
    <w:pPr>
      <w:keepNext/>
      <w:ind w:firstLine="4678"/>
      <w:jc w:val="both"/>
      <w:outlineLvl w:val="1"/>
    </w:pPr>
    <w:rPr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E03C2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rsid w:val="00FE03C2"/>
    <w:pPr>
      <w:ind w:firstLine="1134"/>
      <w:jc w:val="both"/>
    </w:pPr>
    <w:rPr>
      <w:rFonts w:ascii="Bookman Old Style" w:hAnsi="Bookman Old Style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E03C2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E03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03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03C2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5718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5718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Macedo</dc:creator>
  <cp:keywords/>
  <dc:description/>
  <cp:lastModifiedBy>Barbara do Carmo Neto</cp:lastModifiedBy>
  <cp:revision>2</cp:revision>
  <dcterms:created xsi:type="dcterms:W3CDTF">2020-09-10T12:49:00Z</dcterms:created>
  <dcterms:modified xsi:type="dcterms:W3CDTF">2020-09-10T12:49:00Z</dcterms:modified>
</cp:coreProperties>
</file>