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2541" w14:textId="5C407237" w:rsidR="00F92A35" w:rsidRPr="008A3917" w:rsidRDefault="00F92A35" w:rsidP="00A81931">
      <w:pPr>
        <w:tabs>
          <w:tab w:val="left" w:pos="1418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8A3917">
        <w:rPr>
          <w:rFonts w:ascii="Times New Roman" w:hAnsi="Times New Roman" w:cs="Times New Roman"/>
          <w:b/>
          <w:color w:val="000000" w:themeColor="text1"/>
        </w:rPr>
        <w:t xml:space="preserve">PROJETO DE LEI Nº </w:t>
      </w:r>
      <w:r w:rsidR="002222D8" w:rsidRPr="008A3917">
        <w:rPr>
          <w:rFonts w:ascii="Times New Roman" w:hAnsi="Times New Roman" w:cs="Times New Roman"/>
          <w:b/>
          <w:color w:val="000000" w:themeColor="text1"/>
        </w:rPr>
        <w:t>_____</w:t>
      </w:r>
      <w:r w:rsidR="0091406C" w:rsidRPr="008A3917">
        <w:rPr>
          <w:rFonts w:ascii="Times New Roman" w:hAnsi="Times New Roman" w:cs="Times New Roman"/>
          <w:b/>
          <w:color w:val="000000" w:themeColor="text1"/>
        </w:rPr>
        <w:t>/20</w:t>
      </w:r>
      <w:r w:rsidR="00330FBA" w:rsidRPr="008A3917">
        <w:rPr>
          <w:rFonts w:ascii="Times New Roman" w:hAnsi="Times New Roman" w:cs="Times New Roman"/>
          <w:b/>
          <w:color w:val="000000" w:themeColor="text1"/>
        </w:rPr>
        <w:t>2</w:t>
      </w:r>
      <w:r w:rsidR="00535641">
        <w:rPr>
          <w:rFonts w:ascii="Times New Roman" w:hAnsi="Times New Roman" w:cs="Times New Roman"/>
          <w:b/>
          <w:color w:val="000000" w:themeColor="text1"/>
        </w:rPr>
        <w:t>3</w:t>
      </w:r>
      <w:r w:rsidR="002222D8" w:rsidRPr="008A3917">
        <w:rPr>
          <w:rFonts w:ascii="Times New Roman" w:hAnsi="Times New Roman" w:cs="Times New Roman"/>
          <w:b/>
          <w:color w:val="000000" w:themeColor="text1"/>
        </w:rPr>
        <w:t>.</w:t>
      </w:r>
    </w:p>
    <w:p w14:paraId="18C00DED" w14:textId="77777777" w:rsidR="002222D8" w:rsidRPr="008A3917" w:rsidRDefault="002222D8" w:rsidP="00A81931">
      <w:pPr>
        <w:tabs>
          <w:tab w:val="left" w:pos="1418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1AE2F260" w14:textId="1FE9FD5B" w:rsidR="00F92A35" w:rsidRDefault="00F92A35" w:rsidP="00535641">
      <w:pPr>
        <w:tabs>
          <w:tab w:val="left" w:pos="1418"/>
        </w:tabs>
        <w:spacing w:line="360" w:lineRule="auto"/>
        <w:ind w:left="3969"/>
        <w:jc w:val="center"/>
        <w:outlineLvl w:val="0"/>
        <w:rPr>
          <w:rFonts w:ascii="Times New Roman" w:hAnsi="Times New Roman" w:cs="Times New Roman"/>
          <w:b/>
          <w:color w:val="000000" w:themeColor="text1"/>
          <w:u w:val="single"/>
        </w:rPr>
      </w:pPr>
      <w:r w:rsidRPr="008A3917">
        <w:rPr>
          <w:rFonts w:ascii="Times New Roman" w:hAnsi="Times New Roman" w:cs="Times New Roman"/>
          <w:color w:val="000000" w:themeColor="text1"/>
          <w:u w:val="single"/>
        </w:rPr>
        <w:t xml:space="preserve">Autoria: </w:t>
      </w:r>
      <w:r w:rsidRPr="008A3917">
        <w:rPr>
          <w:rFonts w:ascii="Times New Roman" w:hAnsi="Times New Roman" w:cs="Times New Roman"/>
          <w:b/>
          <w:color w:val="000000" w:themeColor="text1"/>
          <w:u w:val="single"/>
        </w:rPr>
        <w:t>DR. YGLÉSIO</w:t>
      </w:r>
    </w:p>
    <w:p w14:paraId="6EA95D34" w14:textId="77777777" w:rsidR="00535641" w:rsidRPr="008A3917" w:rsidRDefault="00535641" w:rsidP="00535641">
      <w:pPr>
        <w:tabs>
          <w:tab w:val="left" w:pos="1418"/>
        </w:tabs>
        <w:spacing w:line="360" w:lineRule="auto"/>
        <w:ind w:left="3969"/>
        <w:jc w:val="center"/>
        <w:outlineLvl w:val="0"/>
        <w:rPr>
          <w:rFonts w:ascii="Times New Roman" w:hAnsi="Times New Roman" w:cs="Times New Roman"/>
          <w:color w:val="000000" w:themeColor="text1"/>
          <w:u w:val="single"/>
        </w:rPr>
      </w:pPr>
    </w:p>
    <w:p w14:paraId="0F7905F9" w14:textId="77777777" w:rsidR="00912AE5" w:rsidRDefault="00912AE5" w:rsidP="00A81931">
      <w:pPr>
        <w:shd w:val="clear" w:color="auto" w:fill="FFFFFF"/>
        <w:tabs>
          <w:tab w:val="left" w:pos="1418"/>
        </w:tabs>
        <w:spacing w:line="300" w:lineRule="atLeast"/>
        <w:ind w:left="3969"/>
        <w:jc w:val="both"/>
        <w:outlineLvl w:val="1"/>
        <w:rPr>
          <w:rFonts w:ascii="Times New Roman" w:eastAsia="Times New Roman" w:hAnsi="Times New Roman" w:cs="Times New Roman"/>
          <w:b/>
          <w:i/>
          <w:spacing w:val="2"/>
        </w:rPr>
      </w:pPr>
      <w:r w:rsidRPr="00931AB9">
        <w:rPr>
          <w:rFonts w:ascii="Times New Roman" w:eastAsia="Times New Roman" w:hAnsi="Times New Roman" w:cs="Times New Roman"/>
          <w:b/>
          <w:i/>
          <w:spacing w:val="2"/>
        </w:rPr>
        <w:t xml:space="preserve">DISPÕE SOBRE </w:t>
      </w:r>
      <w:r>
        <w:rPr>
          <w:rFonts w:ascii="Times New Roman" w:eastAsia="Times New Roman" w:hAnsi="Times New Roman" w:cs="Times New Roman"/>
          <w:b/>
          <w:i/>
          <w:spacing w:val="2"/>
        </w:rPr>
        <w:t>A GARANTIA DA DIGNIDADE HUMANA PARA PESSOAS COM OBESIDADE SEVERA PERMITINDO ACESSO À SAÚDE COM DISPONIBILIZAÇÃO DE</w:t>
      </w:r>
      <w:r w:rsidR="00E51E14">
        <w:rPr>
          <w:rFonts w:ascii="Times New Roman" w:eastAsia="Times New Roman" w:hAnsi="Times New Roman" w:cs="Times New Roman"/>
          <w:b/>
          <w:i/>
          <w:spacing w:val="2"/>
        </w:rPr>
        <w:t xml:space="preserve"> UM QUANTITATIVO DE 5%</w:t>
      </w:r>
      <w:r>
        <w:rPr>
          <w:rFonts w:ascii="Times New Roman" w:eastAsia="Times New Roman" w:hAnsi="Times New Roman" w:cs="Times New Roman"/>
          <w:b/>
          <w:i/>
          <w:spacing w:val="2"/>
        </w:rPr>
        <w:t xml:space="preserve"> </w:t>
      </w:r>
      <w:r w:rsidR="00E51E14">
        <w:rPr>
          <w:rFonts w:ascii="Times New Roman" w:eastAsia="Times New Roman" w:hAnsi="Times New Roman" w:cs="Times New Roman"/>
          <w:b/>
          <w:i/>
          <w:spacing w:val="2"/>
        </w:rPr>
        <w:t>DE ACOMODAÇÕES EM ENFERMARIAS E UTI’S ADAPTADAS</w:t>
      </w:r>
      <w:r>
        <w:rPr>
          <w:rFonts w:ascii="Times New Roman" w:eastAsia="Times New Roman" w:hAnsi="Times New Roman" w:cs="Times New Roman"/>
          <w:b/>
          <w:i/>
          <w:spacing w:val="2"/>
        </w:rPr>
        <w:t xml:space="preserve"> E EQUIPAMENTOS ADEQUADOS NAS UNIDADES HOSPITALARES PÚBLICAS E PRIVADAS. </w:t>
      </w:r>
    </w:p>
    <w:p w14:paraId="30E6E4AB" w14:textId="77777777" w:rsidR="00330FBA" w:rsidRPr="008A3917" w:rsidRDefault="00330FBA" w:rsidP="00A81931">
      <w:pPr>
        <w:tabs>
          <w:tab w:val="left" w:pos="1418"/>
        </w:tabs>
        <w:spacing w:line="360" w:lineRule="auto"/>
        <w:jc w:val="center"/>
        <w:outlineLvl w:val="0"/>
        <w:rPr>
          <w:rFonts w:ascii="Times New Roman" w:eastAsia="Calibri" w:hAnsi="Times New Roman" w:cs="Times New Roman"/>
          <w:i/>
          <w:lang w:eastAsia="en-US"/>
        </w:rPr>
      </w:pPr>
    </w:p>
    <w:p w14:paraId="0AA0E6DA" w14:textId="77777777" w:rsidR="00330FBA" w:rsidRPr="008A3917" w:rsidRDefault="00330FBA" w:rsidP="00A81931">
      <w:pPr>
        <w:tabs>
          <w:tab w:val="left" w:pos="1418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</w:p>
    <w:p w14:paraId="59C4FA4F" w14:textId="77777777" w:rsidR="00912AE5" w:rsidRDefault="00A81931" w:rsidP="00535641">
      <w:pPr>
        <w:tabs>
          <w:tab w:val="left" w:pos="1418"/>
        </w:tabs>
        <w:spacing w:before="240" w:after="240"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ab/>
      </w:r>
      <w:r w:rsidR="00F558C2" w:rsidRPr="008A3917">
        <w:rPr>
          <w:rFonts w:ascii="Times New Roman" w:eastAsia="Calibri" w:hAnsi="Times New Roman" w:cs="Times New Roman"/>
          <w:b/>
          <w:lang w:eastAsia="en-US"/>
        </w:rPr>
        <w:t>Art. 1º</w:t>
      </w:r>
      <w:r w:rsidR="00801105">
        <w:rPr>
          <w:rFonts w:ascii="Times New Roman" w:eastAsia="Calibri" w:hAnsi="Times New Roman" w:cs="Times New Roman"/>
          <w:lang w:eastAsia="en-US"/>
        </w:rPr>
        <w:t xml:space="preserve"> - </w:t>
      </w:r>
      <w:r w:rsidR="00912AE5">
        <w:rPr>
          <w:rFonts w:ascii="Times New Roman" w:eastAsia="Calibri" w:hAnsi="Times New Roman" w:cs="Times New Roman"/>
          <w:lang w:eastAsia="en-US"/>
        </w:rPr>
        <w:t xml:space="preserve">Fica garantido à pessoa com obesidade severa acesso à saúde em todas as unidades de atendimento </w:t>
      </w:r>
      <w:r>
        <w:rPr>
          <w:rFonts w:ascii="Times New Roman" w:eastAsia="Calibri" w:hAnsi="Times New Roman" w:cs="Times New Roman"/>
          <w:lang w:eastAsia="en-US"/>
        </w:rPr>
        <w:t>médico-</w:t>
      </w:r>
      <w:r w:rsidR="00912AE5">
        <w:rPr>
          <w:rFonts w:ascii="Times New Roman" w:eastAsia="Calibri" w:hAnsi="Times New Roman" w:cs="Times New Roman"/>
          <w:lang w:eastAsia="en-US"/>
        </w:rPr>
        <w:t>hospitalar</w:t>
      </w:r>
      <w:r>
        <w:rPr>
          <w:rFonts w:ascii="Times New Roman" w:eastAsia="Calibri" w:hAnsi="Times New Roman" w:cs="Times New Roman"/>
          <w:lang w:eastAsia="en-US"/>
        </w:rPr>
        <w:t>es</w:t>
      </w:r>
      <w:r w:rsidR="00912AE5">
        <w:rPr>
          <w:rFonts w:ascii="Times New Roman" w:eastAsia="Calibri" w:hAnsi="Times New Roman" w:cs="Times New Roman"/>
          <w:lang w:eastAsia="en-US"/>
        </w:rPr>
        <w:t>.</w:t>
      </w:r>
    </w:p>
    <w:p w14:paraId="0A90A406" w14:textId="77777777" w:rsidR="00A81931" w:rsidRDefault="00E51E14" w:rsidP="00535641">
      <w:pPr>
        <w:tabs>
          <w:tab w:val="left" w:pos="0"/>
        </w:tabs>
        <w:spacing w:before="240" w:after="240" w:line="360" w:lineRule="auto"/>
        <w:ind w:firstLine="1418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801105">
        <w:rPr>
          <w:rFonts w:ascii="Times New Roman" w:eastAsia="Calibri" w:hAnsi="Times New Roman" w:cs="Times New Roman"/>
          <w:b/>
          <w:lang w:eastAsia="en-US"/>
        </w:rPr>
        <w:t>Parágrafo único</w:t>
      </w:r>
      <w:r>
        <w:rPr>
          <w:rFonts w:ascii="Times New Roman" w:eastAsia="Calibri" w:hAnsi="Times New Roman" w:cs="Times New Roman"/>
          <w:lang w:eastAsia="en-US"/>
        </w:rPr>
        <w:t xml:space="preserve">: Um quantitativo de, no mínimo, 5% de acomodações em enfermarias e </w:t>
      </w:r>
      <w:proofErr w:type="spellStart"/>
      <w:r>
        <w:rPr>
          <w:rFonts w:ascii="Times New Roman" w:eastAsia="Calibri" w:hAnsi="Times New Roman" w:cs="Times New Roman"/>
          <w:lang w:eastAsia="en-US"/>
        </w:rPr>
        <w:t>UTI’s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 devem ser adaptadas às necessidades das pessoas com obesidade severa</w:t>
      </w:r>
    </w:p>
    <w:p w14:paraId="672EB825" w14:textId="77777777" w:rsidR="00912AE5" w:rsidRDefault="00A81931" w:rsidP="00535641">
      <w:pPr>
        <w:tabs>
          <w:tab w:val="left" w:pos="1418"/>
        </w:tabs>
        <w:spacing w:before="240" w:after="240"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ab/>
      </w:r>
      <w:r w:rsidR="00912AE5" w:rsidRPr="00F1365C">
        <w:rPr>
          <w:rFonts w:ascii="Times New Roman" w:eastAsia="Calibri" w:hAnsi="Times New Roman" w:cs="Times New Roman"/>
          <w:b/>
          <w:lang w:eastAsia="en-US"/>
        </w:rPr>
        <w:t>Art. 2º</w:t>
      </w:r>
      <w:r w:rsidR="00912AE5">
        <w:rPr>
          <w:rFonts w:ascii="Times New Roman" w:eastAsia="Calibri" w:hAnsi="Times New Roman" w:cs="Times New Roman"/>
          <w:lang w:eastAsia="en-US"/>
        </w:rPr>
        <w:t xml:space="preserve"> - Os estabelecimentos destinados ao atendimento médico, quaisquer que forem suas especialidades, públicos ou privados, devem garantir acesso às pessoas obesas severas </w:t>
      </w:r>
      <w:r w:rsidR="00F1365C">
        <w:rPr>
          <w:rFonts w:ascii="Times New Roman" w:eastAsia="Calibri" w:hAnsi="Times New Roman" w:cs="Times New Roman"/>
          <w:lang w:eastAsia="en-US"/>
        </w:rPr>
        <w:t>por meio de acomodações adequadas e equipamentos adaptados às suas condições.</w:t>
      </w:r>
    </w:p>
    <w:p w14:paraId="79C2D15A" w14:textId="77777777" w:rsidR="00356642" w:rsidRDefault="00A81931" w:rsidP="00535641">
      <w:pPr>
        <w:tabs>
          <w:tab w:val="left" w:pos="1418"/>
        </w:tabs>
        <w:spacing w:before="240" w:after="240"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ab/>
      </w:r>
      <w:r w:rsidR="00813566" w:rsidRPr="00801105">
        <w:rPr>
          <w:rFonts w:ascii="Times New Roman" w:eastAsia="Calibri" w:hAnsi="Times New Roman" w:cs="Times New Roman"/>
          <w:b/>
          <w:lang w:eastAsia="en-US"/>
        </w:rPr>
        <w:t>Parágrafo único</w:t>
      </w:r>
      <w:r w:rsidR="00813566">
        <w:rPr>
          <w:rFonts w:ascii="Times New Roman" w:eastAsia="Calibri" w:hAnsi="Times New Roman" w:cs="Times New Roman"/>
          <w:lang w:eastAsia="en-US"/>
        </w:rPr>
        <w:t xml:space="preserve">: </w:t>
      </w:r>
      <w:r w:rsidR="00AB211B">
        <w:rPr>
          <w:rFonts w:ascii="Times New Roman" w:eastAsia="Calibri" w:hAnsi="Times New Roman" w:cs="Times New Roman"/>
          <w:lang w:eastAsia="en-US"/>
        </w:rPr>
        <w:t>Para os fins</w:t>
      </w:r>
      <w:r w:rsidR="00356642">
        <w:rPr>
          <w:rFonts w:ascii="Times New Roman" w:eastAsia="Calibri" w:hAnsi="Times New Roman" w:cs="Times New Roman"/>
          <w:lang w:eastAsia="en-US"/>
        </w:rPr>
        <w:t xml:space="preserve"> da presente lei, considera-se a Lei n. 13.146 de 2015 - Lei Brasileira de Inclusão da Pessoa com Deficiência, que instituiu o Estatuto da Pessoa com Deficiência como responsável por estabelecer as diretrizes e parâmetros técnicos que fundamentarão as adaptações promovidas nos ambientes hospitalares, desde as instalações físicas aos equipamentos médico-assistenciais, </w:t>
      </w:r>
      <w:r w:rsidR="00356642">
        <w:rPr>
          <w:rFonts w:ascii="Times New Roman" w:eastAsia="Calibri" w:hAnsi="Times New Roman" w:cs="Times New Roman"/>
          <w:lang w:eastAsia="en-US"/>
        </w:rPr>
        <w:lastRenderedPageBreak/>
        <w:t>insumos</w:t>
      </w:r>
      <w:r w:rsidR="00633AEC">
        <w:rPr>
          <w:rFonts w:ascii="Times New Roman" w:eastAsia="Calibri" w:hAnsi="Times New Roman" w:cs="Times New Roman"/>
          <w:lang w:eastAsia="en-US"/>
        </w:rPr>
        <w:t>, i</w:t>
      </w:r>
      <w:r w:rsidR="00356642">
        <w:rPr>
          <w:rFonts w:ascii="Times New Roman" w:eastAsia="Calibri" w:hAnsi="Times New Roman" w:cs="Times New Roman"/>
          <w:lang w:eastAsia="en-US"/>
        </w:rPr>
        <w:t xml:space="preserve">nstrumentos médicos, vestimentas, mobiliário adaptado e demais itens essenciais para o trato e atendimento à pessoa com obesidade </w:t>
      </w:r>
      <w:r w:rsidR="00633AEC">
        <w:rPr>
          <w:rFonts w:ascii="Times New Roman" w:eastAsia="Calibri" w:hAnsi="Times New Roman" w:cs="Times New Roman"/>
          <w:lang w:eastAsia="en-US"/>
        </w:rPr>
        <w:t>severa</w:t>
      </w:r>
      <w:r w:rsidR="00356642">
        <w:rPr>
          <w:rFonts w:ascii="Times New Roman" w:eastAsia="Calibri" w:hAnsi="Times New Roman" w:cs="Times New Roman"/>
          <w:lang w:eastAsia="en-US"/>
        </w:rPr>
        <w:t>.</w:t>
      </w:r>
    </w:p>
    <w:p w14:paraId="40D25EC8" w14:textId="77777777" w:rsidR="00C859AF" w:rsidRDefault="00A81931" w:rsidP="00535641">
      <w:pPr>
        <w:tabs>
          <w:tab w:val="left" w:pos="1418"/>
        </w:tabs>
        <w:spacing w:before="240" w:after="240"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ab/>
      </w:r>
      <w:r w:rsidR="00F558C2" w:rsidRPr="008A3917">
        <w:rPr>
          <w:rFonts w:ascii="Times New Roman" w:eastAsia="Calibri" w:hAnsi="Times New Roman" w:cs="Times New Roman"/>
          <w:b/>
          <w:lang w:eastAsia="en-US"/>
        </w:rPr>
        <w:t xml:space="preserve">Art. </w:t>
      </w:r>
      <w:r w:rsidR="00F1365C">
        <w:rPr>
          <w:rFonts w:ascii="Times New Roman" w:eastAsia="Calibri" w:hAnsi="Times New Roman" w:cs="Times New Roman"/>
          <w:b/>
          <w:lang w:eastAsia="en-US"/>
        </w:rPr>
        <w:t>3</w:t>
      </w:r>
      <w:r w:rsidR="00F558C2" w:rsidRPr="008A3917">
        <w:rPr>
          <w:rFonts w:ascii="Times New Roman" w:eastAsia="Calibri" w:hAnsi="Times New Roman" w:cs="Times New Roman"/>
          <w:b/>
          <w:lang w:eastAsia="en-US"/>
        </w:rPr>
        <w:t>º -</w:t>
      </w:r>
      <w:r w:rsidR="00356642">
        <w:rPr>
          <w:rFonts w:ascii="Times New Roman" w:eastAsia="Calibri" w:hAnsi="Times New Roman" w:cs="Times New Roman"/>
          <w:lang w:eastAsia="en-US"/>
        </w:rPr>
        <w:t xml:space="preserve">A inobservância do disposto na presente lei configura infração sanitária e sujeita os </w:t>
      </w:r>
      <w:r w:rsidR="004E64AE">
        <w:rPr>
          <w:rFonts w:ascii="Times New Roman" w:eastAsia="Calibri" w:hAnsi="Times New Roman" w:cs="Times New Roman"/>
          <w:lang w:eastAsia="en-US"/>
        </w:rPr>
        <w:t>transgressores</w:t>
      </w:r>
      <w:r w:rsidR="00356642">
        <w:rPr>
          <w:rFonts w:ascii="Times New Roman" w:eastAsia="Calibri" w:hAnsi="Times New Roman" w:cs="Times New Roman"/>
          <w:lang w:eastAsia="en-US"/>
        </w:rPr>
        <w:t xml:space="preserve"> às penalidades</w:t>
      </w:r>
      <w:r w:rsidR="004E64AE">
        <w:rPr>
          <w:rFonts w:ascii="Times New Roman" w:eastAsia="Calibri" w:hAnsi="Times New Roman" w:cs="Times New Roman"/>
          <w:lang w:eastAsia="en-US"/>
        </w:rPr>
        <w:t xml:space="preserve"> previstas no inciso II, art.10 da Lei 6.437/77.</w:t>
      </w:r>
    </w:p>
    <w:p w14:paraId="618B0335" w14:textId="77777777" w:rsidR="00F1365C" w:rsidRDefault="00A81931" w:rsidP="00535641">
      <w:pPr>
        <w:tabs>
          <w:tab w:val="left" w:pos="1418"/>
        </w:tabs>
        <w:spacing w:before="240" w:after="240"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ab/>
      </w:r>
      <w:r w:rsidR="00F1365C" w:rsidRPr="00F1365C">
        <w:rPr>
          <w:rFonts w:ascii="Times New Roman" w:eastAsia="Calibri" w:hAnsi="Times New Roman" w:cs="Times New Roman"/>
          <w:b/>
          <w:lang w:eastAsia="en-US"/>
        </w:rPr>
        <w:t>Art. 4º</w:t>
      </w:r>
      <w:r w:rsidR="00F1365C">
        <w:rPr>
          <w:rFonts w:ascii="Times New Roman" w:eastAsia="Calibri" w:hAnsi="Times New Roman" w:cs="Times New Roman"/>
          <w:lang w:eastAsia="en-US"/>
        </w:rPr>
        <w:t xml:space="preserve"> - O descumprimento das normas contidas na presente lei sujeitará o transgressor à multa administrativa no valor entre R$ 1.000,00 (mil reais) e R$ 5.000,00 (cinco mil reais) aplicados proporcionalmente ao volume de atendimentos realizados pelo estabelecimento.</w:t>
      </w:r>
    </w:p>
    <w:p w14:paraId="007D91F5" w14:textId="77777777" w:rsidR="00F1365C" w:rsidRDefault="00A81931" w:rsidP="00535641">
      <w:pPr>
        <w:tabs>
          <w:tab w:val="left" w:pos="1418"/>
        </w:tabs>
        <w:spacing w:before="240" w:after="240"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ab/>
      </w:r>
      <w:r w:rsidR="00F1365C" w:rsidRPr="00F1365C">
        <w:rPr>
          <w:rFonts w:ascii="Times New Roman" w:eastAsia="Calibri" w:hAnsi="Times New Roman" w:cs="Times New Roman"/>
          <w:b/>
          <w:lang w:eastAsia="en-US"/>
        </w:rPr>
        <w:t>Parágrafo único</w:t>
      </w:r>
      <w:r w:rsidR="00F1365C">
        <w:rPr>
          <w:rFonts w:ascii="Times New Roman" w:eastAsia="Calibri" w:hAnsi="Times New Roman" w:cs="Times New Roman"/>
          <w:lang w:eastAsia="en-US"/>
        </w:rPr>
        <w:t>: no caso de reincidência a multa poderá atingir até o quadruplo do valor inicialmente aplicado.</w:t>
      </w:r>
    </w:p>
    <w:p w14:paraId="17FC9527" w14:textId="77777777" w:rsidR="00A81931" w:rsidRPr="00D13618" w:rsidRDefault="00A81931" w:rsidP="00535641">
      <w:pPr>
        <w:pStyle w:val="Corpo"/>
        <w:tabs>
          <w:tab w:val="left" w:pos="1418"/>
        </w:tabs>
        <w:spacing w:before="240" w:after="240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 w:rsidRPr="001F3C66">
        <w:rPr>
          <w:rFonts w:ascii="Times New Roman" w:hAnsi="Times New Roman"/>
          <w:b/>
          <w:bCs/>
          <w:szCs w:val="24"/>
        </w:rPr>
        <w:t>Art. 5º</w:t>
      </w:r>
      <w:r w:rsidRPr="00D13618">
        <w:rPr>
          <w:rFonts w:ascii="Times New Roman" w:hAnsi="Times New Roman"/>
          <w:szCs w:val="24"/>
        </w:rPr>
        <w:t xml:space="preserve"> - O Poder Executivo regulamentará esta Lei no que couber.</w:t>
      </w:r>
    </w:p>
    <w:p w14:paraId="2C997ED2" w14:textId="77777777" w:rsidR="00A81931" w:rsidRPr="00F3473C" w:rsidRDefault="00A81931" w:rsidP="00535641">
      <w:pPr>
        <w:tabs>
          <w:tab w:val="left" w:pos="1418"/>
        </w:tabs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C65B95">
        <w:rPr>
          <w:rFonts w:ascii="Times New Roman" w:hAnsi="Times New Roman" w:cs="Times New Roman"/>
          <w:b/>
        </w:rPr>
        <w:t xml:space="preserve">Art. </w:t>
      </w:r>
      <w:r>
        <w:rPr>
          <w:rFonts w:ascii="Times New Roman" w:hAnsi="Times New Roman" w:cs="Times New Roman"/>
          <w:b/>
        </w:rPr>
        <w:t>6</w:t>
      </w:r>
      <w:r w:rsidRPr="00C65B95">
        <w:rPr>
          <w:rFonts w:ascii="Times New Roman" w:hAnsi="Times New Roman" w:cs="Times New Roman"/>
          <w:b/>
        </w:rPr>
        <w:t>º</w:t>
      </w:r>
      <w:r w:rsidRPr="00F3473C">
        <w:rPr>
          <w:rFonts w:ascii="Times New Roman" w:hAnsi="Times New Roman" w:cs="Times New Roman"/>
        </w:rPr>
        <w:t xml:space="preserve"> - As despesas decorrentes da execução desta lei correrão à conta de dotações orçamentárias próprias.</w:t>
      </w:r>
    </w:p>
    <w:p w14:paraId="650FD09C" w14:textId="77777777" w:rsidR="00A81931" w:rsidRPr="00316A7C" w:rsidRDefault="00A81931" w:rsidP="00535641">
      <w:pPr>
        <w:tabs>
          <w:tab w:val="left" w:pos="1418"/>
        </w:tabs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C65B95">
        <w:rPr>
          <w:rFonts w:ascii="Times New Roman" w:hAnsi="Times New Roman" w:cs="Times New Roman"/>
          <w:b/>
        </w:rPr>
        <w:t xml:space="preserve">Art. </w:t>
      </w:r>
      <w:r>
        <w:rPr>
          <w:rFonts w:ascii="Times New Roman" w:hAnsi="Times New Roman" w:cs="Times New Roman"/>
          <w:b/>
        </w:rPr>
        <w:t>7º</w:t>
      </w:r>
      <w:r w:rsidRPr="00F3473C">
        <w:rPr>
          <w:rFonts w:ascii="Times New Roman" w:hAnsi="Times New Roman" w:cs="Times New Roman"/>
        </w:rPr>
        <w:t xml:space="preserve"> - Esta lei entra em vigor </w:t>
      </w:r>
      <w:r>
        <w:rPr>
          <w:rFonts w:ascii="Times New Roman" w:hAnsi="Times New Roman" w:cs="Times New Roman"/>
        </w:rPr>
        <w:t xml:space="preserve">60 dias contados da data de sua publicação. </w:t>
      </w:r>
    </w:p>
    <w:p w14:paraId="2AC2D980" w14:textId="77777777" w:rsidR="00A81931" w:rsidRDefault="00A81931" w:rsidP="00A81931">
      <w:pPr>
        <w:tabs>
          <w:tab w:val="left" w:pos="1418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</w:p>
    <w:p w14:paraId="101EBB66" w14:textId="77777777" w:rsidR="00A81931" w:rsidRPr="008A3917" w:rsidRDefault="00A81931" w:rsidP="00A81931">
      <w:pPr>
        <w:tabs>
          <w:tab w:val="left" w:pos="1418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8A3917">
        <w:rPr>
          <w:rFonts w:ascii="Times New Roman" w:hAnsi="Times New Roman" w:cs="Times New Roman"/>
          <w:b/>
          <w:color w:val="000000" w:themeColor="text1"/>
        </w:rPr>
        <w:t xml:space="preserve">DR. YGLÉSIO </w:t>
      </w:r>
    </w:p>
    <w:p w14:paraId="0607FEDE" w14:textId="77777777" w:rsidR="00A81931" w:rsidRPr="00745A40" w:rsidRDefault="00A81931" w:rsidP="00A81931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A39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DEPUTADO ESTADUAL</w:t>
      </w:r>
    </w:p>
    <w:p w14:paraId="7BC930B5" w14:textId="77777777" w:rsidR="00A81931" w:rsidRDefault="00A81931">
      <w:pPr>
        <w:rPr>
          <w:rFonts w:ascii="Times New Roman" w:eastAsia="Calibri" w:hAnsi="Times New Roman" w:cs="Times New Roman"/>
          <w:b/>
          <w:bCs/>
          <w:lang w:eastAsia="en-US"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br w:type="page"/>
      </w:r>
    </w:p>
    <w:p w14:paraId="705E9A72" w14:textId="77777777" w:rsidR="00330FBA" w:rsidRPr="00C643CD" w:rsidRDefault="00330FBA" w:rsidP="00A81931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A3917">
        <w:rPr>
          <w:rFonts w:ascii="Times New Roman" w:eastAsia="Calibri" w:hAnsi="Times New Roman" w:cs="Times New Roman"/>
          <w:b/>
          <w:bCs/>
          <w:lang w:eastAsia="en-US"/>
        </w:rPr>
        <w:lastRenderedPageBreak/>
        <w:t>JUSTIFICATIVA</w:t>
      </w:r>
    </w:p>
    <w:p w14:paraId="7857E9A4" w14:textId="77777777" w:rsidR="00330FBA" w:rsidRPr="008A3917" w:rsidRDefault="00330FBA" w:rsidP="00A81931">
      <w:pPr>
        <w:tabs>
          <w:tab w:val="left" w:pos="1418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</w:p>
    <w:p w14:paraId="5FAB3DE0" w14:textId="77777777" w:rsidR="00234227" w:rsidRDefault="002209EF" w:rsidP="00A81931">
      <w:pPr>
        <w:tabs>
          <w:tab w:val="left" w:pos="1418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8A3917">
        <w:rPr>
          <w:rFonts w:ascii="Times New Roman" w:eastAsia="Calibri" w:hAnsi="Times New Roman" w:cs="Times New Roman"/>
          <w:lang w:eastAsia="en-US"/>
        </w:rPr>
        <w:tab/>
      </w:r>
      <w:r w:rsidR="00D912E6">
        <w:rPr>
          <w:rFonts w:ascii="Times New Roman" w:eastAsia="Calibri" w:hAnsi="Times New Roman" w:cs="Times New Roman"/>
          <w:lang w:eastAsia="en-US"/>
        </w:rPr>
        <w:t>No âmago de seus artigos 6º e 196</w:t>
      </w:r>
      <w:r w:rsidR="00557AB0">
        <w:rPr>
          <w:rFonts w:ascii="Times New Roman" w:eastAsia="Calibri" w:hAnsi="Times New Roman" w:cs="Times New Roman"/>
          <w:lang w:eastAsia="en-US"/>
        </w:rPr>
        <w:t>,</w:t>
      </w:r>
      <w:r w:rsidR="00D912E6">
        <w:rPr>
          <w:rFonts w:ascii="Times New Roman" w:eastAsia="Calibri" w:hAnsi="Times New Roman" w:cs="Times New Roman"/>
          <w:lang w:eastAsia="en-US"/>
        </w:rPr>
        <w:t xml:space="preserve"> a Constituição Federal dissertou acerca da inviolabilidade do direito à saúde como direito de todos e dever do Estado</w:t>
      </w:r>
      <w:r w:rsidR="00602B4A">
        <w:rPr>
          <w:rFonts w:ascii="Times New Roman" w:eastAsia="Calibri" w:hAnsi="Times New Roman" w:cs="Times New Roman"/>
          <w:lang w:eastAsia="en-US"/>
        </w:rPr>
        <w:t>.</w:t>
      </w:r>
      <w:r w:rsidR="00D912E6">
        <w:rPr>
          <w:rFonts w:ascii="Times New Roman" w:eastAsia="Calibri" w:hAnsi="Times New Roman" w:cs="Times New Roman"/>
          <w:lang w:eastAsia="en-US"/>
        </w:rPr>
        <w:t xml:space="preserve"> Quanto à viabilização desse direito, a carta magna previu ainda o intermédio de políticas públicas com o fito de garantir o acesso universal e igualitário a esse direito. Destarte, a partir disso, há o entendimento de que os serviços de saúde, sejam de matriz pública ou privada, devem estar preparados de modo que possibilite o atendimento de todos ampla e </w:t>
      </w:r>
      <w:proofErr w:type="spellStart"/>
      <w:r w:rsidR="00D912E6">
        <w:rPr>
          <w:rFonts w:ascii="Times New Roman" w:eastAsia="Calibri" w:hAnsi="Times New Roman" w:cs="Times New Roman"/>
          <w:lang w:eastAsia="en-US"/>
        </w:rPr>
        <w:t>isonomicamente</w:t>
      </w:r>
      <w:proofErr w:type="spellEnd"/>
      <w:r w:rsidR="00D912E6">
        <w:rPr>
          <w:rFonts w:ascii="Times New Roman" w:eastAsia="Calibri" w:hAnsi="Times New Roman" w:cs="Times New Roman"/>
          <w:lang w:eastAsia="en-US"/>
        </w:rPr>
        <w:t xml:space="preserve"> sem distinção alguma que cause prejuízo à dignidade humana e integridade da vida, bem jurídico tão resguardado e priorizado na seara jurídica.</w:t>
      </w:r>
    </w:p>
    <w:p w14:paraId="4771999C" w14:textId="77777777" w:rsidR="00557AB0" w:rsidRDefault="00557AB0" w:rsidP="00A81931">
      <w:pPr>
        <w:tabs>
          <w:tab w:val="left" w:pos="1418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8A3917"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>Dados da Organização Mundial de Saúde</w:t>
      </w:r>
      <w:r w:rsidR="00210E9B">
        <w:rPr>
          <w:rFonts w:ascii="Times New Roman" w:eastAsia="Calibri" w:hAnsi="Times New Roman" w:cs="Times New Roman"/>
          <w:lang w:eastAsia="en-US"/>
        </w:rPr>
        <w:t xml:space="preserve"> (OMS)</w:t>
      </w:r>
      <w:r>
        <w:rPr>
          <w:rFonts w:ascii="Times New Roman" w:eastAsia="Calibri" w:hAnsi="Times New Roman" w:cs="Times New Roman"/>
          <w:lang w:eastAsia="en-US"/>
        </w:rPr>
        <w:t xml:space="preserve"> apontam para a prevalência de pacientes com sobrepeso em 1,9 bilhões e a de obesos em cerca de 600 </w:t>
      </w:r>
      <w:r w:rsidR="00210E9B">
        <w:rPr>
          <w:rFonts w:ascii="Times New Roman" w:eastAsia="Calibri" w:hAnsi="Times New Roman" w:cs="Times New Roman"/>
          <w:lang w:eastAsia="en-US"/>
        </w:rPr>
        <w:t>milhões</w:t>
      </w:r>
      <w:r w:rsidR="00633AEC">
        <w:rPr>
          <w:rFonts w:ascii="Times New Roman" w:eastAsia="Calibri" w:hAnsi="Times New Roman" w:cs="Times New Roman"/>
          <w:lang w:eastAsia="en-US"/>
        </w:rPr>
        <w:t>. A obesidade sever</w:t>
      </w:r>
      <w:r>
        <w:rPr>
          <w:rFonts w:ascii="Times New Roman" w:eastAsia="Calibri" w:hAnsi="Times New Roman" w:cs="Times New Roman"/>
          <w:lang w:eastAsia="en-US"/>
        </w:rPr>
        <w:t>a inclusive é o segundo fator de morte evitável no Brasil, superada apenas pelo tabagismo. Sendo assim, a temática deve fazer parte das discussões científicas e públicas de modo que se encontrem medidas profiláticas e combativas à problemática</w:t>
      </w:r>
      <w:r w:rsidR="00210E9B">
        <w:rPr>
          <w:rFonts w:ascii="Times New Roman" w:eastAsia="Calibri" w:hAnsi="Times New Roman" w:cs="Times New Roman"/>
          <w:lang w:eastAsia="en-US"/>
        </w:rPr>
        <w:t>.</w:t>
      </w:r>
    </w:p>
    <w:p w14:paraId="6C1ECA57" w14:textId="77777777" w:rsidR="00557AB0" w:rsidRDefault="00557AB0" w:rsidP="00A81931">
      <w:pPr>
        <w:tabs>
          <w:tab w:val="left" w:pos="1418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8A3917"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 xml:space="preserve">Não se pode, no entanto, deixar de </w:t>
      </w:r>
      <w:r w:rsidR="00210E9B">
        <w:rPr>
          <w:rFonts w:ascii="Times New Roman" w:eastAsia="Calibri" w:hAnsi="Times New Roman" w:cs="Times New Roman"/>
          <w:lang w:eastAsia="en-US"/>
        </w:rPr>
        <w:t xml:space="preserve">observar também as diretrizes voltadas a melhorar a qualidade de vida das pessoas diagnosticadas com </w:t>
      </w:r>
      <w:r w:rsidR="00633AEC">
        <w:rPr>
          <w:rFonts w:ascii="Times New Roman" w:eastAsia="Calibri" w:hAnsi="Times New Roman" w:cs="Times New Roman"/>
          <w:lang w:eastAsia="en-US"/>
        </w:rPr>
        <w:t>a obesidade severa</w:t>
      </w:r>
      <w:r w:rsidR="00210E9B">
        <w:rPr>
          <w:rFonts w:ascii="Times New Roman" w:eastAsia="Calibri" w:hAnsi="Times New Roman" w:cs="Times New Roman"/>
          <w:lang w:eastAsia="en-US"/>
        </w:rPr>
        <w:t>. Nesse sentido, esbarra-se em outro óbice: a falta de infrae</w:t>
      </w:r>
      <w:r w:rsidR="00633AEC">
        <w:rPr>
          <w:rFonts w:ascii="Times New Roman" w:eastAsia="Calibri" w:hAnsi="Times New Roman" w:cs="Times New Roman"/>
          <w:lang w:eastAsia="en-US"/>
        </w:rPr>
        <w:t>strutura adaptada ao tratamento médico desses indivíduos</w:t>
      </w:r>
      <w:r w:rsidR="00210E9B">
        <w:rPr>
          <w:rFonts w:ascii="Times New Roman" w:eastAsia="Calibri" w:hAnsi="Times New Roman" w:cs="Times New Roman"/>
          <w:lang w:eastAsia="en-US"/>
        </w:rPr>
        <w:t xml:space="preserve"> além de equipe capacitada e o próprio reconhecimento da problemática como urgente.</w:t>
      </w:r>
    </w:p>
    <w:p w14:paraId="74454F2F" w14:textId="77777777" w:rsidR="00210E9B" w:rsidRDefault="00210E9B" w:rsidP="00A81931">
      <w:pPr>
        <w:tabs>
          <w:tab w:val="left" w:pos="1418"/>
        </w:tabs>
        <w:ind w:left="283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10E9B">
        <w:rPr>
          <w:rFonts w:ascii="Times New Roman" w:hAnsi="Times New Roman" w:cs="Times New Roman"/>
          <w:sz w:val="20"/>
          <w:szCs w:val="20"/>
        </w:rPr>
        <w:t>A população, as mídias e, mesmo alguns componentes da área de saúde não enxergam o obeso mórbido como uma pessoa doente, mas sim como um indivíduo sedentário, guloso e sem disciplina. A consequência, muitas vezes, é uma recusa no acolhimento desses pacientes no hospital público. As barreiras, outras – desta vez estruturais e físicas – se somam. No dia a dia nos serviços públicos, é comum encontrarmos as seguintes situações limitantes para a atenção que um paciente obeso requer: superlotação de ambulatórios, emergências e setores de imagem; falta de instalações adequadas; sistema de referência e contrarreferência ineficientes, falta de equipes adequadas, desconhecimento da doença, preconceito com a condição deste paciente ou, ainda, ineficaz gestão de prioridades</w:t>
      </w:r>
      <w:r>
        <w:rPr>
          <w:rStyle w:val="Refdenotaderodap"/>
          <w:rFonts w:ascii="Times New Roman" w:hAnsi="Times New Roman" w:cs="Times New Roman"/>
          <w:sz w:val="20"/>
          <w:szCs w:val="20"/>
        </w:rPr>
        <w:footnoteReference w:id="1"/>
      </w:r>
      <w:r w:rsidRPr="00210E9B">
        <w:rPr>
          <w:rFonts w:ascii="Times New Roman" w:hAnsi="Times New Roman" w:cs="Times New Roman"/>
          <w:sz w:val="20"/>
          <w:szCs w:val="20"/>
        </w:rPr>
        <w:t>.</w:t>
      </w:r>
    </w:p>
    <w:p w14:paraId="21FBA75A" w14:textId="77777777" w:rsidR="00210E9B" w:rsidRPr="00210E9B" w:rsidRDefault="00210E9B" w:rsidP="00A81931">
      <w:pPr>
        <w:tabs>
          <w:tab w:val="left" w:pos="1418"/>
        </w:tabs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4E4FE31D" w14:textId="77777777" w:rsidR="00D912E6" w:rsidRPr="008A3917" w:rsidRDefault="00D912E6" w:rsidP="00A81931">
      <w:pPr>
        <w:tabs>
          <w:tab w:val="left" w:pos="1418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8A3917">
        <w:rPr>
          <w:rFonts w:ascii="Times New Roman" w:eastAsia="Calibri" w:hAnsi="Times New Roman" w:cs="Times New Roman"/>
          <w:lang w:eastAsia="en-US"/>
        </w:rPr>
        <w:lastRenderedPageBreak/>
        <w:tab/>
      </w:r>
      <w:r w:rsidR="00421981">
        <w:rPr>
          <w:rFonts w:ascii="Times New Roman" w:eastAsia="Calibri" w:hAnsi="Times New Roman" w:cs="Times New Roman"/>
          <w:lang w:eastAsia="en-US"/>
        </w:rPr>
        <w:t>Com o objetivo de assegurar os princípios de dignidade e equidade para a pessoa obesa</w:t>
      </w:r>
      <w:r w:rsidR="00633AEC">
        <w:rPr>
          <w:rFonts w:ascii="Times New Roman" w:eastAsia="Calibri" w:hAnsi="Times New Roman" w:cs="Times New Roman"/>
          <w:lang w:eastAsia="en-US"/>
        </w:rPr>
        <w:t>-severa</w:t>
      </w:r>
      <w:r w:rsidR="00421981">
        <w:rPr>
          <w:rFonts w:ascii="Times New Roman" w:eastAsia="Calibri" w:hAnsi="Times New Roman" w:cs="Times New Roman"/>
          <w:lang w:eastAsia="en-US"/>
        </w:rPr>
        <w:t>, este projeto de lei se apresenta.</w:t>
      </w:r>
    </w:p>
    <w:p w14:paraId="69C8AAF2" w14:textId="77777777" w:rsidR="0066055A" w:rsidRDefault="0066055A" w:rsidP="00A81931">
      <w:pPr>
        <w:tabs>
          <w:tab w:val="left" w:pos="1418"/>
        </w:tabs>
        <w:spacing w:line="360" w:lineRule="auto"/>
        <w:jc w:val="both"/>
        <w:rPr>
          <w:rFonts w:cs="Arial"/>
          <w:sz w:val="22"/>
          <w:szCs w:val="22"/>
        </w:rPr>
      </w:pPr>
    </w:p>
    <w:p w14:paraId="5252F6D5" w14:textId="77777777" w:rsidR="00A81931" w:rsidRDefault="00A81931" w:rsidP="00A81931">
      <w:pPr>
        <w:tabs>
          <w:tab w:val="left" w:pos="1418"/>
        </w:tabs>
        <w:spacing w:line="360" w:lineRule="auto"/>
        <w:jc w:val="both"/>
        <w:rPr>
          <w:rFonts w:cs="Arial"/>
          <w:sz w:val="22"/>
          <w:szCs w:val="22"/>
        </w:rPr>
      </w:pPr>
    </w:p>
    <w:p w14:paraId="53D418F4" w14:textId="77777777" w:rsidR="00A81931" w:rsidRPr="008A3917" w:rsidRDefault="00A81931" w:rsidP="00A81931">
      <w:pPr>
        <w:tabs>
          <w:tab w:val="left" w:pos="1418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8A3917">
        <w:rPr>
          <w:rFonts w:ascii="Times New Roman" w:hAnsi="Times New Roman" w:cs="Times New Roman"/>
          <w:b/>
          <w:color w:val="000000" w:themeColor="text1"/>
        </w:rPr>
        <w:t xml:space="preserve">DR. YGLÉSIO </w:t>
      </w:r>
    </w:p>
    <w:p w14:paraId="0ACE1EBD" w14:textId="77777777" w:rsidR="00A81931" w:rsidRPr="00745A40" w:rsidRDefault="00A81931" w:rsidP="00A81931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A39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DEPUTADO ESTADUAL</w:t>
      </w:r>
    </w:p>
    <w:p w14:paraId="207DE0D3" w14:textId="77777777" w:rsidR="00A81931" w:rsidRPr="002209EF" w:rsidRDefault="00A81931" w:rsidP="00A81931">
      <w:pPr>
        <w:tabs>
          <w:tab w:val="left" w:pos="1418"/>
        </w:tabs>
        <w:spacing w:line="360" w:lineRule="auto"/>
        <w:jc w:val="both"/>
        <w:rPr>
          <w:rFonts w:cs="Arial"/>
          <w:sz w:val="22"/>
          <w:szCs w:val="22"/>
        </w:rPr>
      </w:pPr>
    </w:p>
    <w:sectPr w:rsidR="00A81931" w:rsidRPr="002209EF" w:rsidSect="00E26DC3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1CE89" w14:textId="77777777" w:rsidR="00CB6759" w:rsidRDefault="00CB6759" w:rsidP="00F92A35">
      <w:r>
        <w:separator/>
      </w:r>
    </w:p>
  </w:endnote>
  <w:endnote w:type="continuationSeparator" w:id="0">
    <w:p w14:paraId="466459E3" w14:textId="77777777" w:rsidR="00CB6759" w:rsidRDefault="00CB6759" w:rsidP="00F9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6BFEB" w14:textId="77777777" w:rsidR="00CB6759" w:rsidRDefault="00CB6759" w:rsidP="00F92A35">
      <w:r>
        <w:separator/>
      </w:r>
    </w:p>
  </w:footnote>
  <w:footnote w:type="continuationSeparator" w:id="0">
    <w:p w14:paraId="2BF3E1AB" w14:textId="77777777" w:rsidR="00CB6759" w:rsidRDefault="00CB6759" w:rsidP="00F92A35">
      <w:r>
        <w:continuationSeparator/>
      </w:r>
    </w:p>
  </w:footnote>
  <w:footnote w:id="1">
    <w:p w14:paraId="61AE08EA" w14:textId="77777777" w:rsidR="00210E9B" w:rsidRPr="00210E9B" w:rsidRDefault="00210E9B" w:rsidP="00210E9B">
      <w:pPr>
        <w:pStyle w:val="Textodenotaderodap"/>
        <w:jc w:val="both"/>
        <w:rPr>
          <w:rFonts w:ascii="Times New Roman" w:hAnsi="Times New Roman" w:cs="Times New Roman"/>
        </w:rPr>
      </w:pPr>
      <w:r w:rsidRPr="00210E9B">
        <w:rPr>
          <w:rStyle w:val="Refdenotaderodap"/>
          <w:rFonts w:ascii="Times New Roman" w:hAnsi="Times New Roman" w:cs="Times New Roman"/>
        </w:rPr>
        <w:footnoteRef/>
      </w:r>
      <w:r w:rsidRPr="00210E9B">
        <w:rPr>
          <w:rFonts w:ascii="Times New Roman" w:hAnsi="Times New Roman" w:cs="Times New Roman"/>
        </w:rPr>
        <w:t xml:space="preserve"> BARROS, Fernando. Qual o maior problema de saúde pública: a obesidade mórbida ou a cirurgia bariátrica no Sistema Único de Saúde? (Parte I). Rev. Col. Bras. Circ., Rio de Janeiro, v. 42, n. 2, p. 69, 2015. Disponível em: https://www.scielo.br/scielo.php?script=sci_isoref&amp;pid=S0100-69912015000300069&amp;lng=pt&amp;tlng=pt. Acesso em 04 de </w:t>
      </w:r>
      <w:proofErr w:type="gramStart"/>
      <w:r w:rsidRPr="00210E9B">
        <w:rPr>
          <w:rFonts w:ascii="Times New Roman" w:hAnsi="Times New Roman" w:cs="Times New Roman"/>
        </w:rPr>
        <w:t>Abril</w:t>
      </w:r>
      <w:proofErr w:type="gramEnd"/>
      <w:r w:rsidRPr="00210E9B">
        <w:rPr>
          <w:rFonts w:ascii="Times New Roman" w:hAnsi="Times New Roman" w:cs="Times New Roman"/>
        </w:rPr>
        <w:t>, 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CDFB" w14:textId="77777777" w:rsidR="00572243" w:rsidRDefault="00572243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  <w:r w:rsidRPr="00F60CC6">
      <w:rPr>
        <w:noProof/>
        <w:color w:val="000000" w:themeColor="text1"/>
      </w:rPr>
      <w:drawing>
        <wp:anchor distT="0" distB="0" distL="114300" distR="114300" simplePos="0" relativeHeight="251659264" behindDoc="1" locked="0" layoutInCell="1" allowOverlap="1" wp14:anchorId="7CA80A1C" wp14:editId="5598CAEF">
          <wp:simplePos x="0" y="0"/>
          <wp:positionH relativeFrom="margin">
            <wp:align>center</wp:align>
          </wp:positionH>
          <wp:positionV relativeFrom="paragraph">
            <wp:posOffset>-411480</wp:posOffset>
          </wp:positionV>
          <wp:extent cx="761433" cy="861060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33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1ECDE44" w14:textId="77777777" w:rsidR="00572243" w:rsidRDefault="00572243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</w:p>
  <w:p w14:paraId="0717A681" w14:textId="77777777" w:rsidR="00572243" w:rsidRDefault="00572243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</w:p>
  <w:p w14:paraId="315B6780" w14:textId="77777777" w:rsidR="00572243" w:rsidRPr="00745A40" w:rsidRDefault="00572243" w:rsidP="00F92A35">
    <w:pPr>
      <w:tabs>
        <w:tab w:val="center" w:pos="4252"/>
        <w:tab w:val="right" w:pos="8504"/>
      </w:tabs>
      <w:spacing w:line="192" w:lineRule="auto"/>
      <w:jc w:val="center"/>
      <w:rPr>
        <w:rFonts w:ascii="Times New Roman" w:hAnsi="Times New Roman" w:cs="Times New Roman"/>
        <w:b/>
        <w:color w:val="000000" w:themeColor="text1"/>
      </w:rPr>
    </w:pPr>
    <w:r w:rsidRPr="00745A40">
      <w:rPr>
        <w:rFonts w:ascii="Times New Roman" w:hAnsi="Times New Roman" w:cs="Times New Roman"/>
        <w:b/>
        <w:color w:val="000000" w:themeColor="text1"/>
      </w:rPr>
      <w:t>ESTADO DO MARANHÃO</w:t>
    </w:r>
  </w:p>
  <w:p w14:paraId="1A9E5BAA" w14:textId="77777777" w:rsidR="00572243" w:rsidRPr="00745A40" w:rsidRDefault="00572243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color w:val="000000" w:themeColor="text1"/>
      </w:rPr>
    </w:pPr>
    <w:r w:rsidRPr="00745A40">
      <w:rPr>
        <w:rFonts w:ascii="Times New Roman" w:hAnsi="Times New Roman" w:cs="Times New Roman"/>
        <w:color w:val="000000" w:themeColor="text1"/>
      </w:rPr>
      <w:t>Assembleia Legislativa</w:t>
    </w:r>
  </w:p>
  <w:p w14:paraId="482F4B25" w14:textId="77777777" w:rsidR="00572243" w:rsidRPr="00745A40" w:rsidRDefault="00572243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b/>
        <w:color w:val="000000" w:themeColor="text1"/>
      </w:rPr>
    </w:pPr>
    <w:r w:rsidRPr="00745A40">
      <w:rPr>
        <w:rFonts w:ascii="Times New Roman" w:hAnsi="Times New Roman" w:cs="Times New Roman"/>
        <w:b/>
        <w:color w:val="000000" w:themeColor="text1"/>
      </w:rPr>
      <w:t>GAB</w:t>
    </w:r>
    <w:r>
      <w:rPr>
        <w:rFonts w:ascii="Times New Roman" w:hAnsi="Times New Roman" w:cs="Times New Roman"/>
        <w:b/>
        <w:color w:val="000000" w:themeColor="text1"/>
      </w:rPr>
      <w:t>INETE</w:t>
    </w:r>
    <w:r w:rsidRPr="00745A40">
      <w:rPr>
        <w:rFonts w:ascii="Times New Roman" w:hAnsi="Times New Roman" w:cs="Times New Roman"/>
        <w:b/>
        <w:color w:val="000000" w:themeColor="text1"/>
      </w:rPr>
      <w:t xml:space="preserve"> DO DEP</w:t>
    </w:r>
    <w:r>
      <w:rPr>
        <w:rFonts w:ascii="Times New Roman" w:hAnsi="Times New Roman" w:cs="Times New Roman"/>
        <w:b/>
        <w:color w:val="000000" w:themeColor="text1"/>
      </w:rPr>
      <w:t>UTADO</w:t>
    </w:r>
    <w:r w:rsidRPr="00745A40">
      <w:rPr>
        <w:rFonts w:ascii="Times New Roman" w:hAnsi="Times New Roman" w:cs="Times New Roman"/>
        <w:b/>
        <w:color w:val="000000" w:themeColor="text1"/>
      </w:rPr>
      <w:t xml:space="preserve"> DR. YGLÉSIO </w:t>
    </w:r>
  </w:p>
  <w:p w14:paraId="5962A1BB" w14:textId="77777777" w:rsidR="00572243" w:rsidRDefault="005722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67A"/>
    <w:multiLevelType w:val="hybridMultilevel"/>
    <w:tmpl w:val="68A6111E"/>
    <w:lvl w:ilvl="0" w:tplc="6608A9EC">
      <w:start w:val="2"/>
      <w:numFmt w:val="lowerLetter"/>
      <w:lvlText w:val="%1)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32C0"/>
    <w:multiLevelType w:val="hybridMultilevel"/>
    <w:tmpl w:val="B2F4C816"/>
    <w:lvl w:ilvl="0" w:tplc="BF7A444E">
      <w:start w:val="1"/>
      <w:numFmt w:val="lowerLetter"/>
      <w:lvlText w:val="%1)"/>
      <w:lvlJc w:val="left"/>
      <w:pPr>
        <w:ind w:left="1494" w:hanging="360"/>
      </w:pPr>
      <w:rPr>
        <w:rFonts w:ascii="Century" w:eastAsiaTheme="minorHAnsi" w:hAnsi="Century"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6F7A694D"/>
    <w:multiLevelType w:val="hybridMultilevel"/>
    <w:tmpl w:val="EE20F752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10452"/>
    <w:multiLevelType w:val="hybridMultilevel"/>
    <w:tmpl w:val="05E8D0EC"/>
    <w:lvl w:ilvl="0" w:tplc="10D4E850">
      <w:start w:val="4"/>
      <w:numFmt w:val="lowerLetter"/>
      <w:lvlText w:val="%1)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65992"/>
    <w:multiLevelType w:val="hybridMultilevel"/>
    <w:tmpl w:val="0F36055A"/>
    <w:lvl w:ilvl="0" w:tplc="89CCEBDE">
      <w:start w:val="1"/>
      <w:numFmt w:val="upperRoman"/>
      <w:lvlText w:val="%1"/>
      <w:lvlJc w:val="left"/>
      <w:pPr>
        <w:ind w:left="218" w:hanging="200"/>
      </w:pPr>
      <w:rPr>
        <w:rFonts w:ascii="Calibri" w:eastAsia="Calibri" w:hAnsi="Calibri" w:cs="Calibri" w:hint="default"/>
        <w:w w:val="100"/>
        <w:sz w:val="28"/>
        <w:szCs w:val="28"/>
        <w:lang w:val="pt-PT" w:eastAsia="pt-PT" w:bidi="pt-PT"/>
      </w:rPr>
    </w:lvl>
    <w:lvl w:ilvl="1" w:tplc="59CA2020">
      <w:numFmt w:val="bullet"/>
      <w:lvlText w:val="•"/>
      <w:lvlJc w:val="left"/>
      <w:pPr>
        <w:ind w:left="1178" w:hanging="200"/>
      </w:pPr>
      <w:rPr>
        <w:rFonts w:hint="default"/>
        <w:lang w:val="pt-PT" w:eastAsia="pt-PT" w:bidi="pt-PT"/>
      </w:rPr>
    </w:lvl>
    <w:lvl w:ilvl="2" w:tplc="D07CE286">
      <w:numFmt w:val="bullet"/>
      <w:lvlText w:val="•"/>
      <w:lvlJc w:val="left"/>
      <w:pPr>
        <w:ind w:left="2137" w:hanging="200"/>
      </w:pPr>
      <w:rPr>
        <w:rFonts w:hint="default"/>
        <w:lang w:val="pt-PT" w:eastAsia="pt-PT" w:bidi="pt-PT"/>
      </w:rPr>
    </w:lvl>
    <w:lvl w:ilvl="3" w:tplc="B9F80092">
      <w:numFmt w:val="bullet"/>
      <w:lvlText w:val="•"/>
      <w:lvlJc w:val="left"/>
      <w:pPr>
        <w:ind w:left="3095" w:hanging="200"/>
      </w:pPr>
      <w:rPr>
        <w:rFonts w:hint="default"/>
        <w:lang w:val="pt-PT" w:eastAsia="pt-PT" w:bidi="pt-PT"/>
      </w:rPr>
    </w:lvl>
    <w:lvl w:ilvl="4" w:tplc="2FA64E60">
      <w:numFmt w:val="bullet"/>
      <w:lvlText w:val="•"/>
      <w:lvlJc w:val="left"/>
      <w:pPr>
        <w:ind w:left="4054" w:hanging="200"/>
      </w:pPr>
      <w:rPr>
        <w:rFonts w:hint="default"/>
        <w:lang w:val="pt-PT" w:eastAsia="pt-PT" w:bidi="pt-PT"/>
      </w:rPr>
    </w:lvl>
    <w:lvl w:ilvl="5" w:tplc="122EDBD4">
      <w:numFmt w:val="bullet"/>
      <w:lvlText w:val="•"/>
      <w:lvlJc w:val="left"/>
      <w:pPr>
        <w:ind w:left="5013" w:hanging="200"/>
      </w:pPr>
      <w:rPr>
        <w:rFonts w:hint="default"/>
        <w:lang w:val="pt-PT" w:eastAsia="pt-PT" w:bidi="pt-PT"/>
      </w:rPr>
    </w:lvl>
    <w:lvl w:ilvl="6" w:tplc="E5EAC20A">
      <w:numFmt w:val="bullet"/>
      <w:lvlText w:val="•"/>
      <w:lvlJc w:val="left"/>
      <w:pPr>
        <w:ind w:left="5971" w:hanging="200"/>
      </w:pPr>
      <w:rPr>
        <w:rFonts w:hint="default"/>
        <w:lang w:val="pt-PT" w:eastAsia="pt-PT" w:bidi="pt-PT"/>
      </w:rPr>
    </w:lvl>
    <w:lvl w:ilvl="7" w:tplc="A3300BA6">
      <w:numFmt w:val="bullet"/>
      <w:lvlText w:val="•"/>
      <w:lvlJc w:val="left"/>
      <w:pPr>
        <w:ind w:left="6930" w:hanging="200"/>
      </w:pPr>
      <w:rPr>
        <w:rFonts w:hint="default"/>
        <w:lang w:val="pt-PT" w:eastAsia="pt-PT" w:bidi="pt-PT"/>
      </w:rPr>
    </w:lvl>
    <w:lvl w:ilvl="8" w:tplc="341096BE">
      <w:numFmt w:val="bullet"/>
      <w:lvlText w:val="•"/>
      <w:lvlJc w:val="left"/>
      <w:pPr>
        <w:ind w:left="7889" w:hanging="200"/>
      </w:pPr>
      <w:rPr>
        <w:rFonts w:hint="default"/>
        <w:lang w:val="pt-PT" w:eastAsia="pt-PT" w:bidi="pt-P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35"/>
    <w:rsid w:val="00026610"/>
    <w:rsid w:val="0004160D"/>
    <w:rsid w:val="000565D4"/>
    <w:rsid w:val="00060044"/>
    <w:rsid w:val="00071C5E"/>
    <w:rsid w:val="00084574"/>
    <w:rsid w:val="00084B62"/>
    <w:rsid w:val="00087D95"/>
    <w:rsid w:val="000B1D3B"/>
    <w:rsid w:val="000C2D67"/>
    <w:rsid w:val="000C3F07"/>
    <w:rsid w:val="000C6283"/>
    <w:rsid w:val="000D03EB"/>
    <w:rsid w:val="000F49B2"/>
    <w:rsid w:val="000F57AD"/>
    <w:rsid w:val="0011057A"/>
    <w:rsid w:val="00121F5C"/>
    <w:rsid w:val="0013686B"/>
    <w:rsid w:val="00142CF6"/>
    <w:rsid w:val="00150D6B"/>
    <w:rsid w:val="00166549"/>
    <w:rsid w:val="00166CDC"/>
    <w:rsid w:val="001730F0"/>
    <w:rsid w:val="001762D7"/>
    <w:rsid w:val="001A30C1"/>
    <w:rsid w:val="001A7E4C"/>
    <w:rsid w:val="001B6C5D"/>
    <w:rsid w:val="001E701D"/>
    <w:rsid w:val="00204EC4"/>
    <w:rsid w:val="00210E9B"/>
    <w:rsid w:val="002209EF"/>
    <w:rsid w:val="002222D8"/>
    <w:rsid w:val="00234227"/>
    <w:rsid w:val="00237327"/>
    <w:rsid w:val="0023749E"/>
    <w:rsid w:val="00247011"/>
    <w:rsid w:val="0025098B"/>
    <w:rsid w:val="002509FF"/>
    <w:rsid w:val="002575A5"/>
    <w:rsid w:val="00257FC6"/>
    <w:rsid w:val="00281003"/>
    <w:rsid w:val="00282195"/>
    <w:rsid w:val="0029714D"/>
    <w:rsid w:val="002A7684"/>
    <w:rsid w:val="002B03B6"/>
    <w:rsid w:val="002C4095"/>
    <w:rsid w:val="002C6747"/>
    <w:rsid w:val="002D48E6"/>
    <w:rsid w:val="002F40D3"/>
    <w:rsid w:val="003034F4"/>
    <w:rsid w:val="003121D6"/>
    <w:rsid w:val="003141D7"/>
    <w:rsid w:val="00316A7C"/>
    <w:rsid w:val="00326A32"/>
    <w:rsid w:val="003302C4"/>
    <w:rsid w:val="00330FBA"/>
    <w:rsid w:val="0034641E"/>
    <w:rsid w:val="00346BB2"/>
    <w:rsid w:val="00356642"/>
    <w:rsid w:val="00360C2C"/>
    <w:rsid w:val="00374F9D"/>
    <w:rsid w:val="00390008"/>
    <w:rsid w:val="003B6E1F"/>
    <w:rsid w:val="003C266F"/>
    <w:rsid w:val="003C3B65"/>
    <w:rsid w:val="003C4469"/>
    <w:rsid w:val="0041242C"/>
    <w:rsid w:val="00421981"/>
    <w:rsid w:val="00422F02"/>
    <w:rsid w:val="00430FC7"/>
    <w:rsid w:val="00432F0F"/>
    <w:rsid w:val="0047167E"/>
    <w:rsid w:val="00472B61"/>
    <w:rsid w:val="00477786"/>
    <w:rsid w:val="0048659F"/>
    <w:rsid w:val="004A1A4C"/>
    <w:rsid w:val="004A310F"/>
    <w:rsid w:val="004E4D56"/>
    <w:rsid w:val="004E64AE"/>
    <w:rsid w:val="00500B61"/>
    <w:rsid w:val="005155B2"/>
    <w:rsid w:val="0052054D"/>
    <w:rsid w:val="00524870"/>
    <w:rsid w:val="0053151D"/>
    <w:rsid w:val="00534384"/>
    <w:rsid w:val="00535641"/>
    <w:rsid w:val="00537301"/>
    <w:rsid w:val="0055580C"/>
    <w:rsid w:val="00555EAD"/>
    <w:rsid w:val="00557AB0"/>
    <w:rsid w:val="0057147F"/>
    <w:rsid w:val="00572243"/>
    <w:rsid w:val="00585817"/>
    <w:rsid w:val="00594CB7"/>
    <w:rsid w:val="005A330E"/>
    <w:rsid w:val="005B2F68"/>
    <w:rsid w:val="005C4BF0"/>
    <w:rsid w:val="005E4266"/>
    <w:rsid w:val="005F75F7"/>
    <w:rsid w:val="005F794C"/>
    <w:rsid w:val="00602B4A"/>
    <w:rsid w:val="00626ABE"/>
    <w:rsid w:val="00633AEC"/>
    <w:rsid w:val="006452DF"/>
    <w:rsid w:val="0066007C"/>
    <w:rsid w:val="0066055A"/>
    <w:rsid w:val="006878C1"/>
    <w:rsid w:val="0069132F"/>
    <w:rsid w:val="006A0378"/>
    <w:rsid w:val="006A2017"/>
    <w:rsid w:val="006B050E"/>
    <w:rsid w:val="006D234C"/>
    <w:rsid w:val="00702004"/>
    <w:rsid w:val="00717AC3"/>
    <w:rsid w:val="00720078"/>
    <w:rsid w:val="00727685"/>
    <w:rsid w:val="00744D8B"/>
    <w:rsid w:val="0074546F"/>
    <w:rsid w:val="00745A40"/>
    <w:rsid w:val="007528C2"/>
    <w:rsid w:val="007738B6"/>
    <w:rsid w:val="00777787"/>
    <w:rsid w:val="007A55D9"/>
    <w:rsid w:val="007B241F"/>
    <w:rsid w:val="007C637B"/>
    <w:rsid w:val="00801105"/>
    <w:rsid w:val="00811709"/>
    <w:rsid w:val="00813566"/>
    <w:rsid w:val="00814DF7"/>
    <w:rsid w:val="008209EE"/>
    <w:rsid w:val="00832638"/>
    <w:rsid w:val="00864C26"/>
    <w:rsid w:val="00867834"/>
    <w:rsid w:val="00880C78"/>
    <w:rsid w:val="00882B51"/>
    <w:rsid w:val="00896F20"/>
    <w:rsid w:val="008A3917"/>
    <w:rsid w:val="008A650C"/>
    <w:rsid w:val="008A715F"/>
    <w:rsid w:val="008C330B"/>
    <w:rsid w:val="008C6F7D"/>
    <w:rsid w:val="008D23C3"/>
    <w:rsid w:val="008F0D29"/>
    <w:rsid w:val="008F2FF8"/>
    <w:rsid w:val="00910EED"/>
    <w:rsid w:val="009125FA"/>
    <w:rsid w:val="00912AE5"/>
    <w:rsid w:val="00912D1F"/>
    <w:rsid w:val="0091406C"/>
    <w:rsid w:val="00931AB9"/>
    <w:rsid w:val="00954CE9"/>
    <w:rsid w:val="00954DCC"/>
    <w:rsid w:val="009925BF"/>
    <w:rsid w:val="009950AC"/>
    <w:rsid w:val="009D337C"/>
    <w:rsid w:val="009E19E9"/>
    <w:rsid w:val="00A06BC4"/>
    <w:rsid w:val="00A143E3"/>
    <w:rsid w:val="00A25439"/>
    <w:rsid w:val="00A322D6"/>
    <w:rsid w:val="00A360CD"/>
    <w:rsid w:val="00A3674F"/>
    <w:rsid w:val="00A4148C"/>
    <w:rsid w:val="00A43A29"/>
    <w:rsid w:val="00A46D40"/>
    <w:rsid w:val="00A6508F"/>
    <w:rsid w:val="00A65105"/>
    <w:rsid w:val="00A74617"/>
    <w:rsid w:val="00A81931"/>
    <w:rsid w:val="00A93491"/>
    <w:rsid w:val="00A950DA"/>
    <w:rsid w:val="00A95F5C"/>
    <w:rsid w:val="00AA6BEB"/>
    <w:rsid w:val="00AA73DE"/>
    <w:rsid w:val="00AA76C8"/>
    <w:rsid w:val="00AB1B69"/>
    <w:rsid w:val="00AB211B"/>
    <w:rsid w:val="00AD4E76"/>
    <w:rsid w:val="00AF18C7"/>
    <w:rsid w:val="00AF2D11"/>
    <w:rsid w:val="00B056BC"/>
    <w:rsid w:val="00B13FC4"/>
    <w:rsid w:val="00B220F4"/>
    <w:rsid w:val="00B35B43"/>
    <w:rsid w:val="00B469D0"/>
    <w:rsid w:val="00B61D0D"/>
    <w:rsid w:val="00B67BDB"/>
    <w:rsid w:val="00B8419A"/>
    <w:rsid w:val="00B922E6"/>
    <w:rsid w:val="00BA0843"/>
    <w:rsid w:val="00BA7E0D"/>
    <w:rsid w:val="00BB14F8"/>
    <w:rsid w:val="00BB54F9"/>
    <w:rsid w:val="00BC4BA7"/>
    <w:rsid w:val="00BE1D40"/>
    <w:rsid w:val="00BF28AD"/>
    <w:rsid w:val="00BF36E9"/>
    <w:rsid w:val="00BF3A7D"/>
    <w:rsid w:val="00BF5C3B"/>
    <w:rsid w:val="00C103B6"/>
    <w:rsid w:val="00C12897"/>
    <w:rsid w:val="00C136A4"/>
    <w:rsid w:val="00C3351C"/>
    <w:rsid w:val="00C3682B"/>
    <w:rsid w:val="00C432FC"/>
    <w:rsid w:val="00C518BA"/>
    <w:rsid w:val="00C578C8"/>
    <w:rsid w:val="00C643CD"/>
    <w:rsid w:val="00C727DF"/>
    <w:rsid w:val="00C839F8"/>
    <w:rsid w:val="00C859AF"/>
    <w:rsid w:val="00CB1F8B"/>
    <w:rsid w:val="00CB6759"/>
    <w:rsid w:val="00CC2135"/>
    <w:rsid w:val="00CC7A7C"/>
    <w:rsid w:val="00D04A6B"/>
    <w:rsid w:val="00D11DFF"/>
    <w:rsid w:val="00D21CBA"/>
    <w:rsid w:val="00D45C7B"/>
    <w:rsid w:val="00D767F1"/>
    <w:rsid w:val="00D912E6"/>
    <w:rsid w:val="00D9186B"/>
    <w:rsid w:val="00D97555"/>
    <w:rsid w:val="00DD1906"/>
    <w:rsid w:val="00DD26F9"/>
    <w:rsid w:val="00DD5F41"/>
    <w:rsid w:val="00E26DC3"/>
    <w:rsid w:val="00E430FC"/>
    <w:rsid w:val="00E456DB"/>
    <w:rsid w:val="00E51E14"/>
    <w:rsid w:val="00E642D5"/>
    <w:rsid w:val="00E7636B"/>
    <w:rsid w:val="00E93F34"/>
    <w:rsid w:val="00EA23DE"/>
    <w:rsid w:val="00EA5820"/>
    <w:rsid w:val="00EC675F"/>
    <w:rsid w:val="00EF3CBC"/>
    <w:rsid w:val="00F0019F"/>
    <w:rsid w:val="00F1365C"/>
    <w:rsid w:val="00F210FE"/>
    <w:rsid w:val="00F21809"/>
    <w:rsid w:val="00F321FC"/>
    <w:rsid w:val="00F43CE8"/>
    <w:rsid w:val="00F46980"/>
    <w:rsid w:val="00F558C2"/>
    <w:rsid w:val="00F627C2"/>
    <w:rsid w:val="00F65C61"/>
    <w:rsid w:val="00F8597D"/>
    <w:rsid w:val="00F92A35"/>
    <w:rsid w:val="00F96880"/>
    <w:rsid w:val="00F97B13"/>
    <w:rsid w:val="00FA6886"/>
    <w:rsid w:val="00FB08DD"/>
    <w:rsid w:val="00FB21C4"/>
    <w:rsid w:val="00FD79BA"/>
    <w:rsid w:val="00FE309C"/>
    <w:rsid w:val="00FE6634"/>
    <w:rsid w:val="00FF12A3"/>
    <w:rsid w:val="00FF6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A0DB"/>
  <w15:docId w15:val="{CDE27689-3E54-4624-BD87-3F5B9DAF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A35"/>
    <w:rPr>
      <w:rFonts w:ascii="Century" w:eastAsiaTheme="minorHAnsi" w:hAnsi="Century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3034F4"/>
    <w:pPr>
      <w:widowControl w:val="0"/>
      <w:autoSpaceDE w:val="0"/>
      <w:autoSpaceDN w:val="0"/>
      <w:spacing w:before="20"/>
      <w:ind w:left="218"/>
      <w:outlineLvl w:val="0"/>
    </w:pPr>
    <w:rPr>
      <w:rFonts w:ascii="Calibri" w:eastAsia="Calibri" w:hAnsi="Calibri" w:cs="Calibri"/>
      <w:b/>
      <w:bCs/>
      <w:sz w:val="40"/>
      <w:szCs w:val="40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F92A35"/>
    <w:rPr>
      <w:rFonts w:ascii="Times New Roman" w:eastAsia="Times New Roman" w:hAnsi="Times New Roman" w:cs="Times New Roman"/>
      <w:color w:val="000000"/>
    </w:rPr>
  </w:style>
  <w:style w:type="character" w:customStyle="1" w:styleId="Ttulo1Char">
    <w:name w:val="Título 1 Char"/>
    <w:basedOn w:val="Fontepargpadro"/>
    <w:link w:val="Ttulo1"/>
    <w:uiPriority w:val="1"/>
    <w:rsid w:val="003034F4"/>
    <w:rPr>
      <w:rFonts w:ascii="Calibri" w:eastAsia="Calibri" w:hAnsi="Calibri" w:cs="Calibri"/>
      <w:b/>
      <w:bCs/>
      <w:sz w:val="40"/>
      <w:szCs w:val="40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3034F4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034F4"/>
    <w:rPr>
      <w:rFonts w:ascii="Calibri" w:eastAsia="Calibri" w:hAnsi="Calibri" w:cs="Calibri"/>
      <w:sz w:val="28"/>
      <w:szCs w:val="28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3034F4"/>
    <w:pPr>
      <w:widowControl w:val="0"/>
      <w:autoSpaceDE w:val="0"/>
      <w:autoSpaceDN w:val="0"/>
      <w:ind w:left="218" w:right="228" w:firstLine="126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878C1"/>
    <w:rPr>
      <w:rFonts w:ascii="Helvetica" w:hAnsi="Helvetic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6878C1"/>
    <w:rPr>
      <w:rFonts w:ascii="Helvetica" w:eastAsiaTheme="minorHAnsi" w:hAnsi="Helvetic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40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06C"/>
    <w:rPr>
      <w:rFonts w:ascii="Segoe UI" w:eastAsiaTheme="minorHAnsi" w:hAnsi="Segoe UI" w:cs="Segoe UI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6654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66549"/>
    <w:rPr>
      <w:rFonts w:ascii="Century" w:eastAsiaTheme="minorHAnsi" w:hAnsi="Century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6654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321F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rsid w:val="00F321FC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071C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71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customStyle="1" w:styleId="Ementa">
    <w:name w:val="Ementa"/>
    <w:basedOn w:val="Normal"/>
    <w:uiPriority w:val="1"/>
    <w:qFormat/>
    <w:rsid w:val="00316A7C"/>
    <w:pPr>
      <w:spacing w:line="276" w:lineRule="auto"/>
      <w:ind w:left="1134"/>
      <w:jc w:val="both"/>
    </w:pPr>
    <w:rPr>
      <w:rFonts w:ascii="Arial Narrow" w:eastAsia="Calibri" w:hAnsi="Arial Narrow" w:cs="Arial"/>
      <w:i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8F2FF8"/>
    <w:rPr>
      <w:color w:val="808080"/>
    </w:rPr>
  </w:style>
  <w:style w:type="paragraph" w:customStyle="1" w:styleId="Corpo">
    <w:name w:val="Corpo"/>
    <w:basedOn w:val="Normal"/>
    <w:qFormat/>
    <w:rsid w:val="00A81931"/>
    <w:pPr>
      <w:spacing w:before="120" w:line="360" w:lineRule="auto"/>
      <w:ind w:firstLine="567"/>
      <w:jc w:val="both"/>
    </w:pPr>
    <w:rPr>
      <w:rFonts w:ascii="Calibri" w:eastAsia="Calibri" w:hAnsi="Calibri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8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21D2F-5FA6-4DAF-BDC3-B0D297567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727</Words>
  <Characters>3931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PROJETO DE LEI Nº ____________________.</vt:lpstr>
      <vt:lpstr>Autoria: DR. YGLÉSIO </vt:lpstr>
      <vt:lpstr>DR. YGLÉSIO </vt:lpstr>
      <vt:lpstr>JUSTIFICATIVA</vt:lpstr>
      <vt:lpstr>DR. YGLÉSIO </vt:lpstr>
    </vt:vector>
  </TitlesOfParts>
  <Company>HP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Gomes De Paiva</dc:creator>
  <cp:lastModifiedBy>Dayane Gomes da Silva Albuquerque</cp:lastModifiedBy>
  <cp:revision>2</cp:revision>
  <cp:lastPrinted>2021-02-18T14:04:00Z</cp:lastPrinted>
  <dcterms:created xsi:type="dcterms:W3CDTF">2023-08-30T14:23:00Z</dcterms:created>
  <dcterms:modified xsi:type="dcterms:W3CDTF">2023-08-30T14:23:00Z</dcterms:modified>
</cp:coreProperties>
</file>