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FF655" w14:textId="77777777" w:rsidR="00235AC9" w:rsidRPr="00D11E22" w:rsidRDefault="00235AC9" w:rsidP="00235AC9">
      <w:pPr>
        <w:jc w:val="center"/>
        <w:rPr>
          <w:b/>
          <w:u w:val="single"/>
        </w:rPr>
      </w:pPr>
      <w:r w:rsidRPr="00D11E22">
        <w:rPr>
          <w:b/>
          <w:u w:val="single"/>
        </w:rPr>
        <w:t>COMISSÃO DE CONSTITUIÇÃO, JUSTIÇA E CIDADANIA</w:t>
      </w:r>
    </w:p>
    <w:p w14:paraId="07D9F3F9" w14:textId="77777777" w:rsidR="00235AC9" w:rsidRPr="00D11E22" w:rsidRDefault="00235AC9" w:rsidP="00235AC9">
      <w:pPr>
        <w:jc w:val="center"/>
        <w:rPr>
          <w:b/>
          <w:u w:val="single"/>
        </w:rPr>
      </w:pPr>
    </w:p>
    <w:p w14:paraId="4F7149CF" w14:textId="6AE5EFCE" w:rsidR="00235AC9" w:rsidRPr="00D11E22" w:rsidRDefault="00235AC9" w:rsidP="00235AC9">
      <w:pPr>
        <w:jc w:val="center"/>
        <w:rPr>
          <w:b/>
          <w:u w:val="single"/>
        </w:rPr>
      </w:pPr>
      <w:r w:rsidRPr="00D11E22">
        <w:rPr>
          <w:b/>
        </w:rPr>
        <w:t xml:space="preserve">   </w:t>
      </w:r>
      <w:r w:rsidRPr="00D11E22">
        <w:rPr>
          <w:b/>
          <w:u w:val="single"/>
        </w:rPr>
        <w:t xml:space="preserve">PARECER Nº </w:t>
      </w:r>
      <w:r w:rsidR="00B02F0A">
        <w:rPr>
          <w:b/>
          <w:u w:val="single"/>
        </w:rPr>
        <w:t>037</w:t>
      </w:r>
      <w:r>
        <w:rPr>
          <w:b/>
          <w:u w:val="single"/>
        </w:rPr>
        <w:t xml:space="preserve"> </w:t>
      </w:r>
      <w:r w:rsidRPr="00D11E22">
        <w:rPr>
          <w:b/>
          <w:u w:val="single"/>
        </w:rPr>
        <w:t>/202</w:t>
      </w:r>
      <w:r w:rsidR="00B02F0A">
        <w:rPr>
          <w:b/>
          <w:u w:val="single"/>
        </w:rPr>
        <w:t>3</w:t>
      </w:r>
    </w:p>
    <w:p w14:paraId="48296670" w14:textId="77777777" w:rsidR="00235AC9" w:rsidRPr="00D11E22" w:rsidRDefault="00235AC9" w:rsidP="00235AC9">
      <w:pPr>
        <w:rPr>
          <w:b/>
          <w:u w:val="single"/>
        </w:rPr>
      </w:pPr>
      <w:r w:rsidRPr="00D11E22">
        <w:rPr>
          <w:b/>
          <w:u w:val="single"/>
        </w:rPr>
        <w:t xml:space="preserve">                </w:t>
      </w:r>
    </w:p>
    <w:p w14:paraId="774BA12A" w14:textId="77777777" w:rsidR="00235AC9" w:rsidRPr="00D11E22" w:rsidRDefault="00235AC9" w:rsidP="00235AC9">
      <w:pPr>
        <w:rPr>
          <w:b/>
          <w:u w:val="single"/>
        </w:rPr>
      </w:pPr>
      <w:r w:rsidRPr="00D11E22">
        <w:rPr>
          <w:b/>
          <w:u w:val="single"/>
        </w:rPr>
        <w:t>RELATÓRIO:</w:t>
      </w:r>
    </w:p>
    <w:p w14:paraId="0EEA8A3B" w14:textId="77777777" w:rsidR="00641255" w:rsidRDefault="00641255" w:rsidP="00641255">
      <w:pPr>
        <w:pStyle w:val="Recuodecorpodetexto"/>
        <w:ind w:left="-142" w:firstLine="568"/>
        <w:rPr>
          <w:rFonts w:ascii="Times New Roman" w:hAnsi="Times New Roman" w:cs="Times New Roman"/>
        </w:rPr>
      </w:pPr>
    </w:p>
    <w:p w14:paraId="1EB50F62" w14:textId="51BC1F24" w:rsidR="00B02F0A" w:rsidRPr="00B02F0A" w:rsidRDefault="00235AC9" w:rsidP="00B02F0A">
      <w:pPr>
        <w:spacing w:line="360" w:lineRule="auto"/>
        <w:ind w:firstLine="567"/>
      </w:pPr>
      <w:r w:rsidRPr="00D11E22">
        <w:t>Trata-se da análise</w:t>
      </w:r>
      <w:r w:rsidR="00257515">
        <w:t xml:space="preserve"> de constitucionalidade, </w:t>
      </w:r>
      <w:r w:rsidR="00257515" w:rsidRPr="00257515">
        <w:t>juridicidade</w:t>
      </w:r>
      <w:r w:rsidR="00257515">
        <w:t xml:space="preserve"> e</w:t>
      </w:r>
      <w:r w:rsidR="00257515" w:rsidRPr="00257515">
        <w:t xml:space="preserve"> </w:t>
      </w:r>
      <w:r w:rsidR="00257515">
        <w:t>legalidade</w:t>
      </w:r>
      <w:r w:rsidRPr="00D11E22">
        <w:t xml:space="preserve"> do Projeto de Lei </w:t>
      </w:r>
      <w:r w:rsidR="00422EB7">
        <w:t xml:space="preserve">                </w:t>
      </w:r>
      <w:r w:rsidRPr="00D11E22">
        <w:t xml:space="preserve">nº </w:t>
      </w:r>
      <w:r w:rsidR="00B02F0A">
        <w:t>027</w:t>
      </w:r>
      <w:r w:rsidRPr="00D11E22">
        <w:t>/202</w:t>
      </w:r>
      <w:r w:rsidR="00B02F0A">
        <w:t>3</w:t>
      </w:r>
      <w:r w:rsidRPr="00D11E22">
        <w:t xml:space="preserve">, de autoria do Senhor Deputado </w:t>
      </w:r>
      <w:r w:rsidR="00B02F0A">
        <w:t>Carlos Lula</w:t>
      </w:r>
      <w:r w:rsidRPr="00D11E22">
        <w:t xml:space="preserve">, </w:t>
      </w:r>
      <w:proofErr w:type="gramStart"/>
      <w:r w:rsidRPr="00D11E22">
        <w:t>que</w:t>
      </w:r>
      <w:r w:rsidR="00B02F0A">
        <w:t xml:space="preserve"> </w:t>
      </w:r>
      <w:r w:rsidR="00B02F0A" w:rsidRPr="00B02F0A">
        <w:t>Dispõe</w:t>
      </w:r>
      <w:proofErr w:type="gramEnd"/>
      <w:r w:rsidR="00B02F0A" w:rsidRPr="00B02F0A">
        <w:t xml:space="preserve"> sobre a vinculação da matrícula na </w:t>
      </w:r>
      <w:r w:rsidR="00B02F0A">
        <w:t>R</w:t>
      </w:r>
      <w:r w:rsidR="00B02F0A" w:rsidRPr="00B02F0A">
        <w:t xml:space="preserve">ede </w:t>
      </w:r>
      <w:r w:rsidR="00B02F0A">
        <w:t>P</w:t>
      </w:r>
      <w:r w:rsidR="00B02F0A" w:rsidRPr="00B02F0A">
        <w:t xml:space="preserve">ública de </w:t>
      </w:r>
      <w:r w:rsidR="00B02F0A">
        <w:t>E</w:t>
      </w:r>
      <w:r w:rsidR="00B02F0A" w:rsidRPr="00B02F0A">
        <w:t xml:space="preserve">nsino à vacinação do Estado do Maranhão. </w:t>
      </w:r>
    </w:p>
    <w:p w14:paraId="14E41857" w14:textId="0399E68D" w:rsidR="00235AC9" w:rsidRDefault="00235AC9" w:rsidP="00B02F0A">
      <w:pPr>
        <w:pStyle w:val="NormalWeb"/>
        <w:shd w:val="clear" w:color="auto" w:fill="FFFFFF"/>
        <w:spacing w:before="0" w:beforeAutospacing="0" w:after="0" w:afterAutospacing="0" w:line="360" w:lineRule="auto"/>
        <w:ind w:firstLine="567"/>
        <w:jc w:val="both"/>
      </w:pPr>
      <w:r>
        <w:t xml:space="preserve">Nos termos do presente Projeto de Lei, </w:t>
      </w:r>
      <w:r w:rsidR="00B02F0A">
        <w:t>é</w:t>
      </w:r>
      <w:r w:rsidR="00B02F0A" w:rsidRPr="00B02F0A">
        <w:t xml:space="preserve"> obrigatória, em todo o território estadual, a apresentação da </w:t>
      </w:r>
      <w:r w:rsidR="00B02F0A">
        <w:t>C</w:t>
      </w:r>
      <w:r w:rsidR="00B02F0A" w:rsidRPr="00B02F0A">
        <w:t xml:space="preserve">arteira de </w:t>
      </w:r>
      <w:r w:rsidR="00B02F0A">
        <w:t>V</w:t>
      </w:r>
      <w:r w:rsidR="00B02F0A" w:rsidRPr="00B02F0A">
        <w:t xml:space="preserve">acinação atualizada dos alunos de até 18 (dezoito) anos de idade, no ato de suas respectivas matrículas, em todas as </w:t>
      </w:r>
      <w:r w:rsidR="00B02F0A">
        <w:t>E</w:t>
      </w:r>
      <w:r w:rsidR="00B02F0A" w:rsidRPr="00B02F0A">
        <w:t xml:space="preserve">scolas da </w:t>
      </w:r>
      <w:r w:rsidR="00B02F0A">
        <w:t>R</w:t>
      </w:r>
      <w:r w:rsidR="00B02F0A" w:rsidRPr="00B02F0A">
        <w:t xml:space="preserve">ede </w:t>
      </w:r>
      <w:r w:rsidR="00B02F0A">
        <w:t>P</w:t>
      </w:r>
      <w:r w:rsidR="00B02F0A" w:rsidRPr="00B02F0A">
        <w:t xml:space="preserve">ública </w:t>
      </w:r>
      <w:r w:rsidR="00B02F0A">
        <w:t>E</w:t>
      </w:r>
      <w:r w:rsidR="00B02F0A" w:rsidRPr="00B02F0A">
        <w:t>stadual.</w:t>
      </w:r>
    </w:p>
    <w:p w14:paraId="4252B868" w14:textId="1DF06C17" w:rsidR="00B02F0A" w:rsidRPr="00B02F0A" w:rsidRDefault="00B02F0A" w:rsidP="00B02F0A">
      <w:pPr>
        <w:pStyle w:val="NormalWeb"/>
        <w:shd w:val="clear" w:color="auto" w:fill="FFFFFF"/>
        <w:spacing w:before="0" w:beforeAutospacing="0" w:after="0" w:afterAutospacing="0" w:line="360" w:lineRule="auto"/>
        <w:ind w:firstLine="567"/>
        <w:jc w:val="both"/>
        <w:rPr>
          <w:i/>
          <w:iCs/>
        </w:rPr>
      </w:pPr>
      <w:r>
        <w:t xml:space="preserve">Registra a Justificativa do autor da propositura, que </w:t>
      </w:r>
      <w:r w:rsidRPr="00B02F0A">
        <w:rPr>
          <w:i/>
          <w:iCs/>
        </w:rPr>
        <w:t>a vacinação é uma das principais estratégias de prevenção às doenças infecciosas, por eliminar ou reduzir consideravelmente o risco de adoecimento ou de manifestações graves da doença.</w:t>
      </w:r>
    </w:p>
    <w:p w14:paraId="7A794D03" w14:textId="77777777" w:rsidR="00B02F0A" w:rsidRPr="00B02F0A" w:rsidRDefault="00B02F0A" w:rsidP="00B02F0A">
      <w:pPr>
        <w:pStyle w:val="NormalWeb"/>
        <w:shd w:val="clear" w:color="auto" w:fill="FFFFFF"/>
        <w:spacing w:before="0" w:beforeAutospacing="0" w:after="0" w:afterAutospacing="0" w:line="360" w:lineRule="auto"/>
        <w:ind w:firstLine="567"/>
        <w:jc w:val="both"/>
        <w:rPr>
          <w:i/>
          <w:iCs/>
        </w:rPr>
      </w:pPr>
      <w:r w:rsidRPr="00B02F0A">
        <w:rPr>
          <w:i/>
          <w:iCs/>
        </w:rPr>
        <w:t>A Organização Mundial da Saúde - OMS estima que a vacinação evita de 2 a 3 milhões de mortes por ano (Sociedade Brasileira de Imunologia, 2022).  A Sociedade Brasileira de Pediatria, a Sociedade Brasileira de Imunizações e a Sociedade Brasileira de Infectologia também descrevem a importância da vacinação e recomendam fortemente a vacinação de crianças e adolescentes.</w:t>
      </w:r>
    </w:p>
    <w:p w14:paraId="1A8C6720" w14:textId="7215A03C" w:rsidR="00B02F0A" w:rsidRPr="00B02F0A" w:rsidRDefault="00B02F0A" w:rsidP="00B02F0A">
      <w:pPr>
        <w:pStyle w:val="NormalWeb"/>
        <w:shd w:val="clear" w:color="auto" w:fill="FFFFFF"/>
        <w:spacing w:before="0" w:beforeAutospacing="0" w:after="0" w:afterAutospacing="0" w:line="360" w:lineRule="auto"/>
        <w:ind w:firstLine="567"/>
        <w:jc w:val="both"/>
        <w:rPr>
          <w:i/>
          <w:iCs/>
        </w:rPr>
      </w:pPr>
      <w:r>
        <w:t xml:space="preserve">Registra ainda o autor, que a </w:t>
      </w:r>
      <w:r w:rsidRPr="00B02F0A">
        <w:rPr>
          <w:i/>
          <w:iCs/>
        </w:rPr>
        <w:t>finalidade do Projeto de Lei é resguardar os direitos fundamentais das crianças e adolescentes, dentre os quais a obrigação de promover a vacinação nos casos recomendados pelas autoridades sanitárias, conforme estabelece o art. 14 do Estatuto da Criança e do Adolescente - ECA (Lei Federal nº 8.069/1990).</w:t>
      </w:r>
    </w:p>
    <w:p w14:paraId="422E55BC" w14:textId="27686940" w:rsidR="00B02F0A" w:rsidRPr="00B02F0A" w:rsidRDefault="00B02F0A" w:rsidP="00B02F0A">
      <w:pPr>
        <w:pStyle w:val="NormalWeb"/>
        <w:shd w:val="clear" w:color="auto" w:fill="FFFFFF"/>
        <w:spacing w:before="0" w:beforeAutospacing="0" w:after="0" w:afterAutospacing="0" w:line="360" w:lineRule="auto"/>
        <w:ind w:firstLine="567"/>
        <w:jc w:val="both"/>
      </w:pPr>
      <w:r w:rsidRPr="00B02F0A">
        <w:rPr>
          <w:i/>
          <w:iCs/>
        </w:rPr>
        <w:t>Vale dizer que a falta de apresentação da carteira de vacinação não impossibilitará que o estudante frequente a escola ou realize matrícula ou rematrícula, porém a situação deverá ser regularizada pelo responsável, sob a pena de comunicação imediata ao Conselho Tutelar, e às autoridades sanitárias, para providências que couber, excetuando os casos em que houver expressa recomendação médica da não aplicação da vacina.</w:t>
      </w:r>
      <w:r>
        <w:t xml:space="preserve"> Essa justificativa por si só atende a pertinência da matéria.</w:t>
      </w:r>
    </w:p>
    <w:p w14:paraId="14FFB12A" w14:textId="2FE2F34F" w:rsidR="00235AC9" w:rsidRDefault="00235AC9" w:rsidP="00641255">
      <w:pPr>
        <w:pStyle w:val="NormalWeb"/>
        <w:shd w:val="clear" w:color="auto" w:fill="FFFFFF"/>
        <w:spacing w:before="0" w:beforeAutospacing="0" w:after="0" w:afterAutospacing="0" w:line="360" w:lineRule="auto"/>
        <w:ind w:firstLine="567"/>
        <w:jc w:val="both"/>
        <w:rPr>
          <w:color w:val="000000"/>
        </w:rPr>
      </w:pPr>
      <w:r w:rsidRPr="00D11E22">
        <w:rPr>
          <w:color w:val="000000"/>
        </w:rPr>
        <w:t xml:space="preserve">Como mencionado acima, analisar-se-á neste parecer a constitucionalidade, a juridicidade e a legalidade do </w:t>
      </w:r>
      <w:r w:rsidR="00422EB7">
        <w:rPr>
          <w:color w:val="000000"/>
        </w:rPr>
        <w:t>P</w:t>
      </w:r>
      <w:r w:rsidRPr="00D11E22">
        <w:rPr>
          <w:color w:val="000000"/>
        </w:rPr>
        <w:t xml:space="preserve">rojeto de </w:t>
      </w:r>
      <w:r w:rsidR="00422EB7">
        <w:rPr>
          <w:color w:val="000000"/>
        </w:rPr>
        <w:t>L</w:t>
      </w:r>
      <w:r w:rsidRPr="00D11E22">
        <w:rPr>
          <w:color w:val="000000"/>
        </w:rPr>
        <w:t>ei</w:t>
      </w:r>
      <w:r w:rsidR="00422EB7">
        <w:rPr>
          <w:color w:val="000000"/>
        </w:rPr>
        <w:t xml:space="preserve"> ora</w:t>
      </w:r>
      <w:r w:rsidRPr="00D11E22">
        <w:rPr>
          <w:color w:val="000000"/>
        </w:rPr>
        <w:t xml:space="preserve"> apresentado, nos âmbitos formal e material. </w:t>
      </w:r>
    </w:p>
    <w:p w14:paraId="12CDCD02" w14:textId="0D44E3AD" w:rsidR="00235AC9" w:rsidRPr="00D11E22" w:rsidRDefault="00235AC9" w:rsidP="00641255">
      <w:pPr>
        <w:autoSpaceDE w:val="0"/>
        <w:autoSpaceDN w:val="0"/>
        <w:adjustRightInd w:val="0"/>
        <w:spacing w:line="360" w:lineRule="auto"/>
        <w:ind w:firstLine="567"/>
        <w:jc w:val="both"/>
        <w:rPr>
          <w:color w:val="000000"/>
        </w:rPr>
      </w:pPr>
      <w:r>
        <w:rPr>
          <w:color w:val="000000"/>
        </w:rPr>
        <w:lastRenderedPageBreak/>
        <w:t xml:space="preserve">Com efeito, a Lei Federal nº 6.259 de 30 de outubro de 1975, prevê que </w:t>
      </w:r>
      <w:r w:rsidRPr="00A20B22">
        <w:rPr>
          <w:color w:val="000000"/>
        </w:rPr>
        <w:t xml:space="preserve">o Ministério da Saúde, coordenará as ações relacionadas com o </w:t>
      </w:r>
      <w:r w:rsidRPr="001E1143">
        <w:rPr>
          <w:b/>
          <w:bCs/>
          <w:color w:val="000000"/>
        </w:rPr>
        <w:t>controle das doenças transmissíveis</w:t>
      </w:r>
      <w:r w:rsidRPr="00A20B22">
        <w:rPr>
          <w:color w:val="000000"/>
        </w:rPr>
        <w:t xml:space="preserve">, orientando sua execução inclusive quanto à </w:t>
      </w:r>
      <w:r w:rsidRPr="001E1143">
        <w:rPr>
          <w:b/>
          <w:bCs/>
          <w:color w:val="000000"/>
        </w:rPr>
        <w:t>vigilância epidemiológica</w:t>
      </w:r>
      <w:r w:rsidRPr="00A20B22">
        <w:rPr>
          <w:color w:val="000000"/>
        </w:rPr>
        <w:t xml:space="preserve">, à aplicação da notificação compulsória, ao </w:t>
      </w:r>
      <w:r w:rsidRPr="001E1143">
        <w:rPr>
          <w:b/>
          <w:bCs/>
          <w:color w:val="000000"/>
        </w:rPr>
        <w:t>programa de imunizações</w:t>
      </w:r>
      <w:r w:rsidRPr="00A20B22">
        <w:rPr>
          <w:color w:val="000000"/>
        </w:rPr>
        <w:t xml:space="preserve"> e ao atendimento de agravos coletivos à saúde, bem como os decorrentes de calamidade pública</w:t>
      </w:r>
      <w:r>
        <w:rPr>
          <w:color w:val="000000"/>
        </w:rPr>
        <w:t xml:space="preserve">, </w:t>
      </w:r>
      <w:r w:rsidRPr="001E1143">
        <w:rPr>
          <w:color w:val="000000"/>
        </w:rPr>
        <w:t>podendo delegar essa competência às Secretarias de Saúde dos Estados, do Distrito Federal e dos Territórios</w:t>
      </w:r>
      <w:r>
        <w:rPr>
          <w:color w:val="000000"/>
        </w:rPr>
        <w:t xml:space="preserve">. Ademais, aduz a referida </w:t>
      </w:r>
      <w:r w:rsidR="00422EB7">
        <w:rPr>
          <w:color w:val="000000"/>
        </w:rPr>
        <w:t>L</w:t>
      </w:r>
      <w:r>
        <w:rPr>
          <w:color w:val="000000"/>
        </w:rPr>
        <w:t>ei que c</w:t>
      </w:r>
      <w:r w:rsidRPr="001E1143">
        <w:rPr>
          <w:color w:val="000000"/>
        </w:rPr>
        <w:t>abe ao Ministério da Saúde a elaboração do Programa Nacional de Imunizações, que definirá as vacinações, inclusive as de caráter obrigatório.</w:t>
      </w:r>
      <w:r>
        <w:rPr>
          <w:color w:val="000000"/>
        </w:rPr>
        <w:t xml:space="preserve"> </w:t>
      </w:r>
    </w:p>
    <w:p w14:paraId="7C3E850A" w14:textId="24369B7C" w:rsidR="00235AC9" w:rsidRDefault="00235AC9" w:rsidP="00641255">
      <w:pPr>
        <w:autoSpaceDE w:val="0"/>
        <w:autoSpaceDN w:val="0"/>
        <w:adjustRightInd w:val="0"/>
        <w:spacing w:line="360" w:lineRule="auto"/>
        <w:ind w:firstLine="567"/>
        <w:jc w:val="both"/>
      </w:pPr>
      <w:r>
        <w:t xml:space="preserve">A proposição em análise dispõe em essência sobre a proteção e defesa da saúde pública, </w:t>
      </w:r>
      <w:r w:rsidRPr="0014508B">
        <w:rPr>
          <w:b/>
          <w:bCs/>
          <w:u w:val="single"/>
        </w:rPr>
        <w:t>matéria de competência concorrente dos entes da federação</w:t>
      </w:r>
      <w:r>
        <w:t xml:space="preserve">, nos termos dos </w:t>
      </w:r>
      <w:proofErr w:type="spellStart"/>
      <w:r>
        <w:t>arts</w:t>
      </w:r>
      <w:proofErr w:type="spellEnd"/>
      <w:r>
        <w:t>. 24, XII da CF/88 e Art. 12, inciso II, alínea “</w:t>
      </w:r>
      <w:r w:rsidRPr="00B02F0A">
        <w:rPr>
          <w:i/>
          <w:iCs/>
        </w:rPr>
        <w:t>m</w:t>
      </w:r>
      <w:r>
        <w:t xml:space="preserve">” da CE/89, senão vejamos: </w:t>
      </w:r>
    </w:p>
    <w:p w14:paraId="0582BD22" w14:textId="77777777" w:rsidR="00235AC9" w:rsidRPr="00BE38FA" w:rsidRDefault="00235AC9" w:rsidP="00235AC9">
      <w:pPr>
        <w:autoSpaceDE w:val="0"/>
        <w:autoSpaceDN w:val="0"/>
        <w:adjustRightInd w:val="0"/>
        <w:spacing w:line="360" w:lineRule="auto"/>
        <w:ind w:left="2977"/>
        <w:jc w:val="both"/>
        <w:rPr>
          <w:i/>
          <w:iCs/>
          <w:sz w:val="22"/>
          <w:szCs w:val="22"/>
        </w:rPr>
      </w:pPr>
      <w:r w:rsidRPr="00BE38FA">
        <w:rPr>
          <w:i/>
          <w:iCs/>
          <w:sz w:val="22"/>
          <w:szCs w:val="22"/>
        </w:rPr>
        <w:t>“Art. 24. Compete à União, aos Estados e ao Distrito Federal legislar concorrentemente sobre:</w:t>
      </w:r>
    </w:p>
    <w:p w14:paraId="039E756E" w14:textId="77777777" w:rsidR="00235AC9" w:rsidRPr="00BE38FA" w:rsidRDefault="00235AC9" w:rsidP="00235AC9">
      <w:pPr>
        <w:autoSpaceDE w:val="0"/>
        <w:autoSpaceDN w:val="0"/>
        <w:adjustRightInd w:val="0"/>
        <w:spacing w:line="360" w:lineRule="auto"/>
        <w:ind w:left="2977"/>
        <w:jc w:val="both"/>
        <w:rPr>
          <w:i/>
          <w:iCs/>
          <w:sz w:val="22"/>
          <w:szCs w:val="22"/>
        </w:rPr>
      </w:pPr>
      <w:r w:rsidRPr="00BE38FA">
        <w:rPr>
          <w:i/>
          <w:iCs/>
          <w:sz w:val="22"/>
          <w:szCs w:val="22"/>
        </w:rPr>
        <w:t>(...)</w:t>
      </w:r>
    </w:p>
    <w:p w14:paraId="710BB9A6" w14:textId="6B9A956A" w:rsidR="00235AC9" w:rsidRDefault="00235AC9" w:rsidP="00235AC9">
      <w:pPr>
        <w:autoSpaceDE w:val="0"/>
        <w:autoSpaceDN w:val="0"/>
        <w:adjustRightInd w:val="0"/>
        <w:spacing w:line="360" w:lineRule="auto"/>
        <w:ind w:left="2977"/>
        <w:jc w:val="both"/>
        <w:rPr>
          <w:i/>
          <w:iCs/>
          <w:sz w:val="22"/>
          <w:szCs w:val="22"/>
        </w:rPr>
      </w:pPr>
      <w:r w:rsidRPr="00BE38FA">
        <w:rPr>
          <w:i/>
          <w:iCs/>
          <w:sz w:val="22"/>
          <w:szCs w:val="22"/>
        </w:rPr>
        <w:t xml:space="preserve">XII - previdência social, </w:t>
      </w:r>
      <w:r w:rsidRPr="00BE38FA">
        <w:rPr>
          <w:b/>
          <w:bCs/>
          <w:i/>
          <w:iCs/>
          <w:sz w:val="22"/>
          <w:szCs w:val="22"/>
        </w:rPr>
        <w:t xml:space="preserve">proteção e defesa da saúde; </w:t>
      </w:r>
      <w:r w:rsidRPr="00BE38FA">
        <w:rPr>
          <w:i/>
          <w:iCs/>
          <w:sz w:val="22"/>
          <w:szCs w:val="22"/>
        </w:rPr>
        <w:t>[...]</w:t>
      </w:r>
    </w:p>
    <w:p w14:paraId="2462E331" w14:textId="77777777" w:rsidR="00B02F0A" w:rsidRPr="00BE38FA" w:rsidRDefault="00B02F0A" w:rsidP="00235AC9">
      <w:pPr>
        <w:autoSpaceDE w:val="0"/>
        <w:autoSpaceDN w:val="0"/>
        <w:adjustRightInd w:val="0"/>
        <w:spacing w:line="360" w:lineRule="auto"/>
        <w:ind w:left="2977"/>
        <w:jc w:val="both"/>
        <w:rPr>
          <w:i/>
          <w:iCs/>
          <w:sz w:val="22"/>
          <w:szCs w:val="22"/>
        </w:rPr>
      </w:pPr>
    </w:p>
    <w:p w14:paraId="69DE1A73" w14:textId="77777777" w:rsidR="00235AC9" w:rsidRPr="00BE38FA" w:rsidRDefault="00235AC9" w:rsidP="00235AC9">
      <w:pPr>
        <w:autoSpaceDE w:val="0"/>
        <w:autoSpaceDN w:val="0"/>
        <w:adjustRightInd w:val="0"/>
        <w:spacing w:line="360" w:lineRule="auto"/>
        <w:ind w:left="2977"/>
        <w:jc w:val="both"/>
        <w:rPr>
          <w:i/>
          <w:iCs/>
          <w:sz w:val="22"/>
          <w:szCs w:val="22"/>
        </w:rPr>
      </w:pPr>
      <w:r w:rsidRPr="00BE38FA">
        <w:rPr>
          <w:i/>
          <w:iCs/>
          <w:sz w:val="22"/>
          <w:szCs w:val="22"/>
        </w:rPr>
        <w:t>Art. 12 - Compete, ainda, ao Estado:</w:t>
      </w:r>
    </w:p>
    <w:p w14:paraId="08A9A571" w14:textId="77777777" w:rsidR="00235AC9" w:rsidRPr="00BE38FA" w:rsidRDefault="00235AC9" w:rsidP="00235AC9">
      <w:pPr>
        <w:autoSpaceDE w:val="0"/>
        <w:autoSpaceDN w:val="0"/>
        <w:adjustRightInd w:val="0"/>
        <w:spacing w:line="360" w:lineRule="auto"/>
        <w:ind w:left="2977"/>
        <w:jc w:val="both"/>
        <w:rPr>
          <w:i/>
          <w:iCs/>
          <w:sz w:val="22"/>
          <w:szCs w:val="22"/>
        </w:rPr>
      </w:pPr>
      <w:r w:rsidRPr="00BE38FA">
        <w:rPr>
          <w:i/>
          <w:iCs/>
          <w:sz w:val="22"/>
          <w:szCs w:val="22"/>
        </w:rPr>
        <w:t>(...)</w:t>
      </w:r>
    </w:p>
    <w:p w14:paraId="6F3C9699" w14:textId="00B2A6FF" w:rsidR="00235AC9" w:rsidRDefault="00235AC9" w:rsidP="00235AC9">
      <w:pPr>
        <w:autoSpaceDE w:val="0"/>
        <w:autoSpaceDN w:val="0"/>
        <w:adjustRightInd w:val="0"/>
        <w:spacing w:line="360" w:lineRule="auto"/>
        <w:ind w:left="2977"/>
        <w:jc w:val="both"/>
        <w:rPr>
          <w:i/>
          <w:iCs/>
          <w:sz w:val="22"/>
          <w:szCs w:val="22"/>
        </w:rPr>
      </w:pPr>
      <w:r w:rsidRPr="00BE38FA">
        <w:rPr>
          <w:i/>
          <w:iCs/>
          <w:sz w:val="22"/>
          <w:szCs w:val="22"/>
        </w:rPr>
        <w:t xml:space="preserve">II - </w:t>
      </w:r>
      <w:proofErr w:type="gramStart"/>
      <w:r w:rsidRPr="00BE38FA">
        <w:rPr>
          <w:i/>
          <w:iCs/>
          <w:sz w:val="22"/>
          <w:szCs w:val="22"/>
        </w:rPr>
        <w:t>concorrentemente</w:t>
      </w:r>
      <w:proofErr w:type="gramEnd"/>
      <w:r w:rsidRPr="00BE38FA">
        <w:rPr>
          <w:i/>
          <w:iCs/>
          <w:sz w:val="22"/>
          <w:szCs w:val="22"/>
        </w:rPr>
        <w:t xml:space="preserve"> com a União, legislar sobre:</w:t>
      </w:r>
    </w:p>
    <w:p w14:paraId="60BD3018" w14:textId="18522BE4" w:rsidR="00B02F0A" w:rsidRPr="00BE38FA" w:rsidRDefault="00B02F0A" w:rsidP="00235AC9">
      <w:pPr>
        <w:autoSpaceDE w:val="0"/>
        <w:autoSpaceDN w:val="0"/>
        <w:adjustRightInd w:val="0"/>
        <w:spacing w:line="360" w:lineRule="auto"/>
        <w:ind w:left="2977"/>
        <w:jc w:val="both"/>
        <w:rPr>
          <w:i/>
          <w:iCs/>
          <w:sz w:val="22"/>
          <w:szCs w:val="22"/>
        </w:rPr>
      </w:pPr>
      <w:r>
        <w:rPr>
          <w:i/>
          <w:iCs/>
          <w:sz w:val="22"/>
          <w:szCs w:val="22"/>
        </w:rPr>
        <w:t>(...)</w:t>
      </w:r>
    </w:p>
    <w:p w14:paraId="026A4E6B" w14:textId="77777777" w:rsidR="00235AC9" w:rsidRPr="00BE38FA" w:rsidRDefault="00235AC9" w:rsidP="00235AC9">
      <w:pPr>
        <w:autoSpaceDE w:val="0"/>
        <w:autoSpaceDN w:val="0"/>
        <w:adjustRightInd w:val="0"/>
        <w:spacing w:line="360" w:lineRule="auto"/>
        <w:ind w:left="2977"/>
        <w:jc w:val="both"/>
        <w:rPr>
          <w:b/>
          <w:bCs/>
          <w:i/>
          <w:iCs/>
          <w:sz w:val="22"/>
          <w:szCs w:val="22"/>
        </w:rPr>
      </w:pPr>
      <w:r w:rsidRPr="00BE38FA">
        <w:rPr>
          <w:i/>
          <w:iCs/>
          <w:sz w:val="22"/>
          <w:szCs w:val="22"/>
        </w:rPr>
        <w:t xml:space="preserve">m) previdência social, </w:t>
      </w:r>
      <w:r w:rsidRPr="00BE38FA">
        <w:rPr>
          <w:b/>
          <w:bCs/>
          <w:i/>
          <w:iCs/>
          <w:sz w:val="22"/>
          <w:szCs w:val="22"/>
        </w:rPr>
        <w:t>proteção e defesa da saúde;”</w:t>
      </w:r>
    </w:p>
    <w:p w14:paraId="434F0276" w14:textId="5A388250" w:rsidR="00235AC9" w:rsidRDefault="007A75C8" w:rsidP="00235AC9">
      <w:pPr>
        <w:autoSpaceDE w:val="0"/>
        <w:autoSpaceDN w:val="0"/>
        <w:adjustRightInd w:val="0"/>
        <w:spacing w:line="360" w:lineRule="auto"/>
        <w:ind w:firstLine="708"/>
        <w:jc w:val="both"/>
      </w:pPr>
      <w:r>
        <w:t>A</w:t>
      </w:r>
      <w:r w:rsidR="00235AC9">
        <w:t xml:space="preserve"> Constituição quis proporcionar um maior respaldo às ordens jurídicas parciais que integram o pacto federativo, pois a competência legislativa concorrente é aquela em que mais de uma pessoa política de direito público exerce o poder de legislar sobre certa matéria, caso em espécie.</w:t>
      </w:r>
    </w:p>
    <w:p w14:paraId="491E4D6C" w14:textId="46D770B3" w:rsidR="00235AC9" w:rsidRDefault="00235AC9" w:rsidP="00235AC9">
      <w:pPr>
        <w:autoSpaceDE w:val="0"/>
        <w:autoSpaceDN w:val="0"/>
        <w:adjustRightInd w:val="0"/>
        <w:spacing w:line="360" w:lineRule="auto"/>
        <w:ind w:firstLine="708"/>
        <w:jc w:val="both"/>
      </w:pPr>
      <w:r>
        <w:t>Ademais, o</w:t>
      </w:r>
      <w:r w:rsidRPr="00C8784D">
        <w:t xml:space="preserve"> art. 196</w:t>
      </w:r>
      <w:r w:rsidR="00B02F0A">
        <w:t>,</w:t>
      </w:r>
      <w:r w:rsidRPr="00C8784D">
        <w:t xml:space="preserve"> da Constituição Federal</w:t>
      </w:r>
      <w:r w:rsidR="00B02F0A">
        <w:t>,</w:t>
      </w:r>
      <w:r w:rsidRPr="00C8784D">
        <w:t xml:space="preserve"> estabelece</w:t>
      </w:r>
      <w:r>
        <w:t xml:space="preserve"> que “a</w:t>
      </w:r>
      <w:r w:rsidRPr="005B6E8C">
        <w:t xml:space="preserve"> saúde é direito de todos e dever do Estado, garantido mediante políticas sociais e econômicas que </w:t>
      </w:r>
      <w:r w:rsidRPr="00B903B5">
        <w:rPr>
          <w:b/>
          <w:bCs/>
        </w:rPr>
        <w:t>visem à redução do risco de doença</w:t>
      </w:r>
      <w:r w:rsidRPr="005B6E8C">
        <w:t xml:space="preserve"> </w:t>
      </w:r>
      <w:r w:rsidRPr="007F0F6F">
        <w:rPr>
          <w:b/>
          <w:bCs/>
        </w:rPr>
        <w:t>e de outros agravos e ao acesso universal e igualitário às ações e serviços para sua promoção, proteção e recuperação</w:t>
      </w:r>
      <w:r w:rsidRPr="005B6E8C">
        <w:t>.</w:t>
      </w:r>
      <w:r>
        <w:t>”</w:t>
      </w:r>
      <w:r w:rsidRPr="00C8784D">
        <w:t xml:space="preserve"> O direito à saúde, como está assegurado na Carta, não deve sofrer embaraços impostos por autoridades administrativas, no sentido de </w:t>
      </w:r>
      <w:r w:rsidR="00422EB7" w:rsidRPr="00C8784D">
        <w:t>reduz</w:t>
      </w:r>
      <w:r w:rsidR="00422EB7">
        <w:t>i</w:t>
      </w:r>
      <w:r w:rsidR="00422EB7" w:rsidRPr="00C8784D">
        <w:t>-lo</w:t>
      </w:r>
      <w:r w:rsidRPr="00C8784D">
        <w:t xml:space="preserve"> ou de dificultar o acesso a ele. </w:t>
      </w:r>
    </w:p>
    <w:p w14:paraId="1F110B21" w14:textId="341D590C" w:rsidR="0051156B" w:rsidRPr="0051156B" w:rsidRDefault="0051156B" w:rsidP="00235AC9">
      <w:pPr>
        <w:autoSpaceDE w:val="0"/>
        <w:autoSpaceDN w:val="0"/>
        <w:adjustRightInd w:val="0"/>
        <w:spacing w:line="360" w:lineRule="auto"/>
        <w:ind w:firstLine="708"/>
        <w:jc w:val="both"/>
      </w:pPr>
      <w:r w:rsidRPr="0051156B">
        <w:lastRenderedPageBreak/>
        <w:t xml:space="preserve">Destarte, já tendo sido dirimido pela Suprema Corte do país o conflito aparente resultante da prevalência do direito social à saúde (art. </w:t>
      </w:r>
      <w:hyperlink r:id="rId6" w:tooltip="Artigo 196 da Constituição Federal de 1988" w:history="1">
        <w:r w:rsidRPr="0051156B">
          <w:rPr>
            <w:rStyle w:val="Hyperlink"/>
            <w:color w:val="auto"/>
            <w:u w:val="none"/>
          </w:rPr>
          <w:t>196</w:t>
        </w:r>
      </w:hyperlink>
      <w:r w:rsidRPr="0051156B">
        <w:t xml:space="preserve"> da </w:t>
      </w:r>
      <w:hyperlink r:id="rId7" w:tooltip="CONSTITUIÇÃO DA REPÚBLICA FEDERATIVA DO BRASIL DE 1988" w:history="1">
        <w:r w:rsidRPr="0051156B">
          <w:rPr>
            <w:rStyle w:val="Hyperlink"/>
            <w:color w:val="auto"/>
            <w:u w:val="none"/>
          </w:rPr>
          <w:t>CF</w:t>
        </w:r>
      </w:hyperlink>
      <w:r w:rsidR="00422EB7">
        <w:rPr>
          <w:rStyle w:val="Hyperlink"/>
          <w:color w:val="auto"/>
          <w:u w:val="none"/>
        </w:rPr>
        <w:t>/88</w:t>
      </w:r>
      <w:r w:rsidRPr="0051156B">
        <w:t xml:space="preserve">) em detrimento ao direito de livre locomoção (art. </w:t>
      </w:r>
      <w:hyperlink r:id="rId8" w:tooltip="Artigo 5 da Constituição Federal de 1988" w:history="1">
        <w:r w:rsidRPr="0051156B">
          <w:rPr>
            <w:rStyle w:val="Hyperlink"/>
            <w:color w:val="auto"/>
            <w:u w:val="none"/>
          </w:rPr>
          <w:t>5º</w:t>
        </w:r>
      </w:hyperlink>
      <w:r w:rsidRPr="0051156B">
        <w:t xml:space="preserve">, inciso </w:t>
      </w:r>
      <w:hyperlink r:id="rId9" w:tooltip="Inciso XV do Artigo 5 da Constituição Federal de 1988" w:history="1">
        <w:r w:rsidRPr="0051156B">
          <w:rPr>
            <w:rStyle w:val="Hyperlink"/>
            <w:color w:val="auto"/>
            <w:u w:val="none"/>
          </w:rPr>
          <w:t>XV</w:t>
        </w:r>
      </w:hyperlink>
      <w:r w:rsidRPr="0051156B">
        <w:t xml:space="preserve">, da </w:t>
      </w:r>
      <w:hyperlink r:id="rId10" w:tooltip="CONSTITUIÇÃO DA REPÚBLICA FEDERATIVA DO BRASIL DE 1988" w:history="1">
        <w:r w:rsidRPr="0051156B">
          <w:rPr>
            <w:rStyle w:val="Hyperlink"/>
            <w:color w:val="auto"/>
            <w:u w:val="none"/>
          </w:rPr>
          <w:t>CF</w:t>
        </w:r>
      </w:hyperlink>
      <w:r w:rsidR="00422EB7">
        <w:rPr>
          <w:rStyle w:val="Hyperlink"/>
          <w:color w:val="auto"/>
          <w:u w:val="none"/>
        </w:rPr>
        <w:t>/88</w:t>
      </w:r>
      <w:r w:rsidRPr="0051156B">
        <w:t>), inexiste constrangimento ilegal decorrente da exigência de comprovante de vacinação como condição para se ter acesso às dependências de locais de acesso ao público, sejam eles públicos ou privados, tendo em vista tratar-se de medida necessária ao resguardo de bens jurídicos irrenunciáveis, sobretudo quando se tem notícia da propagação de nova e perigosa cepa do vírus Sars-Cov-19, que já está presente em vários países, inclusive, com casos já detectados no Brasil.</w:t>
      </w:r>
    </w:p>
    <w:p w14:paraId="2A8D0FF0" w14:textId="49C72AF0" w:rsidR="00235AC9" w:rsidRPr="00A77109" w:rsidRDefault="00235AC9" w:rsidP="00235AC9">
      <w:pPr>
        <w:autoSpaceDE w:val="0"/>
        <w:autoSpaceDN w:val="0"/>
        <w:adjustRightInd w:val="0"/>
        <w:spacing w:line="360" w:lineRule="auto"/>
        <w:ind w:firstLine="708"/>
        <w:jc w:val="both"/>
      </w:pPr>
      <w:r>
        <w:t>Outrossim, o art. 197</w:t>
      </w:r>
      <w:r w:rsidR="00422EB7">
        <w:t xml:space="preserve">, </w:t>
      </w:r>
      <w:r>
        <w:t xml:space="preserve">do mesmo </w:t>
      </w:r>
      <w:r w:rsidR="005C1747">
        <w:t>D</w:t>
      </w:r>
      <w:r>
        <w:t xml:space="preserve">iploma </w:t>
      </w:r>
      <w:r w:rsidR="005C1747">
        <w:t>L</w:t>
      </w:r>
      <w:r>
        <w:t>egal prevê que “</w:t>
      </w:r>
      <w:r w:rsidR="005C1747">
        <w:t>s</w:t>
      </w:r>
      <w:r w:rsidRPr="00421F7F">
        <w:t xml:space="preserve">ão de relevância pública as ações e serviços de saúde, cabendo ao Poder Público dispor, nos termos da lei, sobre sua regulamentação, </w:t>
      </w:r>
      <w:r w:rsidRPr="00421F7F">
        <w:rPr>
          <w:b/>
          <w:bCs/>
        </w:rPr>
        <w:t>fiscalização e controle</w:t>
      </w:r>
      <w:r w:rsidRPr="00421F7F">
        <w:t>, devendo sua execução ser feita diretamente ou através de terceiros e, também, por pessoa física ou jurídica de direito privado.</w:t>
      </w:r>
      <w:r>
        <w:t>”</w:t>
      </w:r>
      <w:r w:rsidR="0071515F">
        <w:t xml:space="preserve"> </w:t>
      </w:r>
      <w:r w:rsidR="00A77109">
        <w:t xml:space="preserve">Tal dispositivo dá, ainda, o comando constitucional para a base de toda a legislação ordinária infralegal que tratará da organização do sistema de saúde público e privado, fiscalização e controle das ações e serviços de saúde, bem como da </w:t>
      </w:r>
      <w:r w:rsidR="00A77109">
        <w:rPr>
          <w:b/>
          <w:bCs/>
        </w:rPr>
        <w:t xml:space="preserve">prevenção sanitária e epidemiológica de riscos de doenças, </w:t>
      </w:r>
      <w:r w:rsidR="00A77109" w:rsidRPr="00976D85">
        <w:t>vigilância, controle e fiscalização</w:t>
      </w:r>
      <w:r w:rsidR="00976D85">
        <w:rPr>
          <w:b/>
          <w:bCs/>
        </w:rPr>
        <w:t xml:space="preserve"> </w:t>
      </w:r>
      <w:r w:rsidR="00976D85">
        <w:t>de tratamentos e unidades de saúde, permitindo assim a existência de normas que efetivem a universalidade do acesso à saúde. (Cf. AITH, 2007, p. 155)</w:t>
      </w:r>
      <w:r w:rsidR="00A77109">
        <w:rPr>
          <w:b/>
          <w:bCs/>
        </w:rPr>
        <w:t xml:space="preserve"> </w:t>
      </w:r>
    </w:p>
    <w:p w14:paraId="00A92CA7" w14:textId="03971932" w:rsidR="00235AC9" w:rsidRPr="00422EB7" w:rsidRDefault="00235AC9" w:rsidP="00235AC9">
      <w:pPr>
        <w:autoSpaceDE w:val="0"/>
        <w:autoSpaceDN w:val="0"/>
        <w:adjustRightInd w:val="0"/>
        <w:spacing w:line="360" w:lineRule="auto"/>
        <w:ind w:firstLine="708"/>
        <w:jc w:val="both"/>
        <w:rPr>
          <w:b/>
          <w:bCs/>
        </w:rPr>
      </w:pPr>
      <w:r>
        <w:t>Aprofundando o exame da matéria,</w:t>
      </w:r>
      <w:r w:rsidR="00542A3E">
        <w:t xml:space="preserve"> podemos observar que</w:t>
      </w:r>
      <w:r>
        <w:t xml:space="preserve"> o presente </w:t>
      </w:r>
      <w:r w:rsidR="005C1747">
        <w:t>P</w:t>
      </w:r>
      <w:r>
        <w:t xml:space="preserve">rojeto de </w:t>
      </w:r>
      <w:r w:rsidR="005C1747">
        <w:t>L</w:t>
      </w:r>
      <w:r>
        <w:t xml:space="preserve">ei </w:t>
      </w:r>
      <w:r w:rsidRPr="00421F7F">
        <w:rPr>
          <w:b/>
          <w:bCs/>
        </w:rPr>
        <w:t>não prevê em nenhum de seus dispositivos a vacinação forçada</w:t>
      </w:r>
      <w:r>
        <w:t xml:space="preserve">. Não consta sequer que tal medida tenha sido cogitada pelo legislador. Desse modo, a </w:t>
      </w:r>
      <w:r w:rsidRPr="00033BD2">
        <w:rPr>
          <w:b/>
          <w:bCs/>
        </w:rPr>
        <w:t>vacinação compulsória</w:t>
      </w:r>
      <w:r>
        <w:t xml:space="preserve"> não significa vacinação forçada, por exigir sempre o consentimento do usuário, podendo, contudo, ser implementada por meio de </w:t>
      </w:r>
      <w:r w:rsidRPr="00033BD2">
        <w:rPr>
          <w:b/>
          <w:bCs/>
        </w:rPr>
        <w:t>medidas indiretas</w:t>
      </w:r>
      <w:r w:rsidR="005C1747">
        <w:rPr>
          <w:b/>
          <w:bCs/>
        </w:rPr>
        <w:t>.</w:t>
      </w:r>
    </w:p>
    <w:p w14:paraId="7522BA90" w14:textId="286E4DF8" w:rsidR="00235AC9" w:rsidRDefault="00976D85" w:rsidP="00235AC9">
      <w:pPr>
        <w:autoSpaceDE w:val="0"/>
        <w:autoSpaceDN w:val="0"/>
        <w:adjustRightInd w:val="0"/>
        <w:spacing w:line="360" w:lineRule="auto"/>
        <w:ind w:firstLine="708"/>
        <w:jc w:val="both"/>
      </w:pPr>
      <w:r>
        <w:t>A</w:t>
      </w:r>
      <w:r w:rsidR="008B7C04">
        <w:t>lém do mais</w:t>
      </w:r>
      <w:r w:rsidR="00235AC9">
        <w:t xml:space="preserve">, </w:t>
      </w:r>
      <w:r w:rsidR="00235AC9" w:rsidRPr="00033BD2">
        <w:rPr>
          <w:b/>
          <w:bCs/>
        </w:rPr>
        <w:t>a implementação de medidas indiretas</w:t>
      </w:r>
      <w:r w:rsidR="00235AC9">
        <w:t xml:space="preserve"> deve respeitar a dignidade humana e os direitos fundamentais das pessoas, conforme preceituam os </w:t>
      </w:r>
      <w:proofErr w:type="spellStart"/>
      <w:r w:rsidR="00235AC9">
        <w:t>arts</w:t>
      </w:r>
      <w:proofErr w:type="spellEnd"/>
      <w:r w:rsidR="00235AC9">
        <w:t xml:space="preserve">. 1º, inciso III e 5º, incisos III e X, da Constituição Federal de 1988, </w:t>
      </w:r>
      <w:r w:rsidR="00235AC9" w:rsidRPr="00EF36EC">
        <w:rPr>
          <w:b/>
          <w:bCs/>
        </w:rPr>
        <w:t xml:space="preserve">o que é observado no presente </w:t>
      </w:r>
      <w:r w:rsidR="005C1747">
        <w:rPr>
          <w:b/>
          <w:bCs/>
        </w:rPr>
        <w:t>P</w:t>
      </w:r>
      <w:r w:rsidR="00235AC9" w:rsidRPr="00EF36EC">
        <w:rPr>
          <w:b/>
          <w:bCs/>
        </w:rPr>
        <w:t xml:space="preserve">rojeto de </w:t>
      </w:r>
      <w:r w:rsidR="005C1747">
        <w:rPr>
          <w:b/>
          <w:bCs/>
        </w:rPr>
        <w:t>L</w:t>
      </w:r>
      <w:r w:rsidR="00235AC9" w:rsidRPr="00EF36EC">
        <w:rPr>
          <w:b/>
          <w:bCs/>
        </w:rPr>
        <w:t>ei</w:t>
      </w:r>
      <w:r w:rsidR="00235AC9">
        <w:t xml:space="preserve">.  Sim, porque que as ações das autoridades sanitárias, nesse campo, podem suscitar possíveis conflitos entre direitos ligados à liberdade individual e aqueles relacionados à saúde coletiva. Esses conflitos, embora não sejam novos, revestem-se agora de uma roupagem original, diante dos inusitados desafios surgidos no enfrentamento da pandemia desencadeada pela Covid-19. </w:t>
      </w:r>
    </w:p>
    <w:p w14:paraId="203FC80F" w14:textId="02F12D15" w:rsidR="00976D85" w:rsidRDefault="00976D85" w:rsidP="00235AC9">
      <w:pPr>
        <w:autoSpaceDE w:val="0"/>
        <w:autoSpaceDN w:val="0"/>
        <w:adjustRightInd w:val="0"/>
        <w:spacing w:line="360" w:lineRule="auto"/>
        <w:ind w:firstLine="708"/>
        <w:jc w:val="both"/>
      </w:pPr>
      <w:r>
        <w:lastRenderedPageBreak/>
        <w:t xml:space="preserve">Por fim, em consonância com </w:t>
      </w:r>
      <w:r w:rsidR="008B7C04" w:rsidRPr="008B7C04">
        <w:t xml:space="preserve">o disposto nos </w:t>
      </w:r>
      <w:proofErr w:type="spellStart"/>
      <w:r w:rsidR="008B7C04" w:rsidRPr="008B7C04">
        <w:t>arts</w:t>
      </w:r>
      <w:proofErr w:type="spellEnd"/>
      <w:r w:rsidR="008B7C04" w:rsidRPr="008B7C04">
        <w:t xml:space="preserve">. </w:t>
      </w:r>
      <w:hyperlink r:id="rId11" w:tooltip="Artigo 196 da Constituição Federal de 1988" w:history="1">
        <w:r w:rsidR="008B7C04" w:rsidRPr="008B7C04">
          <w:rPr>
            <w:rStyle w:val="Hyperlink"/>
            <w:color w:val="auto"/>
            <w:u w:val="none"/>
          </w:rPr>
          <w:t>196</w:t>
        </w:r>
      </w:hyperlink>
      <w:r w:rsidR="008B7C04" w:rsidRPr="008B7C04">
        <w:t xml:space="preserve"> e</w:t>
      </w:r>
      <w:r w:rsidR="00542A3E">
        <w:t xml:space="preserve"> 197</w:t>
      </w:r>
      <w:r w:rsidR="008B7C04" w:rsidRPr="008B7C04">
        <w:t xml:space="preserve">, ambos da </w:t>
      </w:r>
      <w:hyperlink r:id="rId12" w:tooltip="CONSTITUIÇÃO DA REPÚBLICA FEDERATIVA DO BRASIL DE 1988" w:history="1">
        <w:r w:rsidR="008B7C04" w:rsidRPr="008B7C04">
          <w:rPr>
            <w:rStyle w:val="Hyperlink"/>
            <w:color w:val="auto"/>
            <w:u w:val="none"/>
          </w:rPr>
          <w:t>Constituição Federal</w:t>
        </w:r>
      </w:hyperlink>
      <w:r w:rsidR="008B7C04" w:rsidRPr="008B7C04">
        <w:t xml:space="preserve">, é firme o entendimento do Supremo Tribunal Federal no sentido de que as decisões capazes de influenciar bens jurídicos de valor supremo, </w:t>
      </w:r>
      <w:r w:rsidR="008B7C04" w:rsidRPr="00422EB7">
        <w:rPr>
          <w:b/>
          <w:bCs/>
        </w:rPr>
        <w:t>tais como a vida e a saúde</w:t>
      </w:r>
      <w:r w:rsidR="008B7C04" w:rsidRPr="008B7C04">
        <w:t xml:space="preserve">, devem ser norteadas pelos </w:t>
      </w:r>
      <w:r w:rsidR="008B7C04" w:rsidRPr="00422EB7">
        <w:rPr>
          <w:b/>
          <w:bCs/>
        </w:rPr>
        <w:t>princípios da precaução e da prevenção</w:t>
      </w:r>
      <w:r w:rsidR="008B7C04" w:rsidRPr="008B7C04">
        <w:t>, de modo que, sempre que haja dúvida sobre eventuais efeitos danosos de uma providência, seja adotada a medida mais conservadora necessária a evitar a ocorrência do dano.</w:t>
      </w:r>
      <w:r w:rsidR="008B7C04">
        <w:t xml:space="preserve"> </w:t>
      </w:r>
      <w:r w:rsidR="008B7C04" w:rsidRPr="008B7C04">
        <w:t>Nesse sentido</w:t>
      </w:r>
      <w:r w:rsidR="00542A3E">
        <w:t>, vale destacar os seguintes julgados do Supremo Tribunal Federal</w:t>
      </w:r>
      <w:r w:rsidR="008B7C04" w:rsidRPr="008B7C04">
        <w:t>: A</w:t>
      </w:r>
      <w:r w:rsidR="00542A3E">
        <w:t xml:space="preserve">ção </w:t>
      </w:r>
      <w:r w:rsidR="008B7C04" w:rsidRPr="008B7C04">
        <w:t>D</w:t>
      </w:r>
      <w:r w:rsidR="00542A3E">
        <w:t xml:space="preserve">ireta de </w:t>
      </w:r>
      <w:r w:rsidR="008B7C04" w:rsidRPr="008B7C04">
        <w:t>I</w:t>
      </w:r>
      <w:r w:rsidR="00542A3E">
        <w:t>nconstitucionalidade</w:t>
      </w:r>
      <w:r w:rsidR="008B7C04" w:rsidRPr="008B7C04">
        <w:t xml:space="preserve"> n. 6.421, relator Luís Roberto Barroso, j. 21/5/2020;</w:t>
      </w:r>
      <w:hyperlink r:id="rId13" w:history="1">
        <w:r w:rsidR="00542A3E" w:rsidRPr="00542A3E">
          <w:t xml:space="preserve"> </w:t>
        </w:r>
        <w:r w:rsidR="00542A3E" w:rsidRPr="008B7C04">
          <w:t>A</w:t>
        </w:r>
        <w:r w:rsidR="00542A3E">
          <w:t xml:space="preserve">ção </w:t>
        </w:r>
        <w:r w:rsidR="00542A3E" w:rsidRPr="008B7C04">
          <w:t>D</w:t>
        </w:r>
        <w:r w:rsidR="00542A3E">
          <w:t xml:space="preserve">ireta de </w:t>
        </w:r>
        <w:r w:rsidR="00542A3E" w:rsidRPr="008B7C04">
          <w:t>I</w:t>
        </w:r>
        <w:r w:rsidR="00542A3E">
          <w:t>nconstitucionalidade</w:t>
        </w:r>
        <w:r w:rsidR="008B7C04" w:rsidRPr="008B7C04">
          <w:rPr>
            <w:rStyle w:val="Hyperlink"/>
            <w:color w:val="auto"/>
            <w:u w:val="none"/>
          </w:rPr>
          <w:t xml:space="preserve"> n. 5.592</w:t>
        </w:r>
      </w:hyperlink>
      <w:r w:rsidR="008B7C04" w:rsidRPr="008B7C04">
        <w:t xml:space="preserve">, relator para acórdão Ministro Edson Fachin, j. 11/2/2019; </w:t>
      </w:r>
      <w:hyperlink r:id="rId14" w:history="1">
        <w:r w:rsidR="008B7C04" w:rsidRPr="008B7C04">
          <w:rPr>
            <w:rStyle w:val="Hyperlink"/>
            <w:color w:val="auto"/>
            <w:u w:val="none"/>
          </w:rPr>
          <w:t>RE n. 627.189</w:t>
        </w:r>
      </w:hyperlink>
      <w:r w:rsidR="008B7C04" w:rsidRPr="008B7C04">
        <w:t>, relator Ministro Dias Toffoli, j. 8/6/2016.</w:t>
      </w:r>
    </w:p>
    <w:p w14:paraId="26CE09BE" w14:textId="1926779F" w:rsidR="008B7C04" w:rsidRPr="008B7C04" w:rsidRDefault="008B7C04" w:rsidP="00235AC9">
      <w:pPr>
        <w:autoSpaceDE w:val="0"/>
        <w:autoSpaceDN w:val="0"/>
        <w:adjustRightInd w:val="0"/>
        <w:spacing w:line="360" w:lineRule="auto"/>
        <w:ind w:firstLine="708"/>
        <w:jc w:val="both"/>
      </w:pPr>
      <w:r w:rsidRPr="008B7C04">
        <w:t xml:space="preserve">Especificamente quanto à possibilidade de utilização de instrumentos indiretos para compelir a população a aderir ao programa nacional de vacinação deflagrado em razão da crise sanitária decorrente da pandemia causada pela covid-19, o pretório excelso entendeu pela validade da política de vacinação obrigatória, autorizando a exigência de comprovante de vacinação, de quarentena ou de teste de contágio para ingresso em determinados locais ou para a prática de certas atividades, descartado o uso da força. Nesse sentido, ADPF n. 898 MC, relator Ministro Luís Roberto Barroso, j. 12/11/2021, monocrática; </w:t>
      </w:r>
      <w:hyperlink r:id="rId15" w:history="1">
        <w:r w:rsidRPr="008B7C04">
          <w:rPr>
            <w:rStyle w:val="Hyperlink"/>
            <w:color w:val="auto"/>
            <w:u w:val="none"/>
          </w:rPr>
          <w:t>ARE n. 1.267.879</w:t>
        </w:r>
      </w:hyperlink>
      <w:r w:rsidRPr="008B7C04">
        <w:t xml:space="preserve">, relator Ministro Luís Roberto Barroso, j. 17/12/2020; </w:t>
      </w:r>
      <w:proofErr w:type="spellStart"/>
      <w:r w:rsidRPr="008B7C04">
        <w:t>ADIs</w:t>
      </w:r>
      <w:proofErr w:type="spellEnd"/>
      <w:r w:rsidRPr="008B7C04">
        <w:t xml:space="preserve"> n. 6.586 e 6.587, relator Ministro Ricardo Lewandowski, j. 17/12/2020.</w:t>
      </w:r>
    </w:p>
    <w:p w14:paraId="77645416" w14:textId="487705CD" w:rsidR="00235AC9" w:rsidRDefault="00235AC9" w:rsidP="00897774">
      <w:pPr>
        <w:autoSpaceDE w:val="0"/>
        <w:autoSpaceDN w:val="0"/>
        <w:adjustRightInd w:val="0"/>
        <w:spacing w:line="360" w:lineRule="auto"/>
        <w:ind w:firstLine="708"/>
        <w:jc w:val="both"/>
      </w:pPr>
      <w:r>
        <w:t>Desta forma, quanto à competência para legislar sobre o assunto, a propos</w:t>
      </w:r>
      <w:r w:rsidR="00542A3E">
        <w:t>itura de Lei</w:t>
      </w:r>
      <w:r>
        <w:t xml:space="preserve"> se apresenta conforme </w:t>
      </w:r>
      <w:r w:rsidR="00BE1D3D">
        <w:t>os preceitos constitucionais</w:t>
      </w:r>
      <w:r w:rsidR="00542A3E">
        <w:t xml:space="preserve">, portanto, </w:t>
      </w:r>
      <w:r w:rsidRPr="00D11E22">
        <w:t>não há óbice à aprovação do</w:t>
      </w:r>
      <w:r w:rsidR="00897774">
        <w:t xml:space="preserve"> presente</w:t>
      </w:r>
      <w:r w:rsidRPr="00D11E22">
        <w:t xml:space="preserve"> Projeto de Lei, uma vez que ele não padece de inconstitucionalidade.</w:t>
      </w:r>
    </w:p>
    <w:p w14:paraId="53F5B5DF" w14:textId="77777777" w:rsidR="00897774" w:rsidRDefault="00897774" w:rsidP="00897774">
      <w:pPr>
        <w:autoSpaceDE w:val="0"/>
        <w:autoSpaceDN w:val="0"/>
        <w:adjustRightInd w:val="0"/>
        <w:spacing w:line="360" w:lineRule="auto"/>
        <w:ind w:firstLine="708"/>
        <w:jc w:val="both"/>
      </w:pPr>
    </w:p>
    <w:p w14:paraId="5EFABA3D" w14:textId="77777777" w:rsidR="00235AC9" w:rsidRPr="00D11E22" w:rsidRDefault="00235AC9" w:rsidP="00235AC9">
      <w:pPr>
        <w:spacing w:line="360" w:lineRule="auto"/>
        <w:ind w:right="18"/>
        <w:jc w:val="both"/>
        <w:rPr>
          <w:b/>
          <w:u w:val="single"/>
        </w:rPr>
      </w:pPr>
      <w:r w:rsidRPr="00D11E22">
        <w:rPr>
          <w:b/>
          <w:u w:val="single"/>
        </w:rPr>
        <w:t>VOTO DO RELATOR:</w:t>
      </w:r>
    </w:p>
    <w:p w14:paraId="53C7A5E1" w14:textId="2CA8B171" w:rsidR="00235AC9" w:rsidRPr="00D11E22" w:rsidRDefault="00235AC9" w:rsidP="00BE1D3D">
      <w:pPr>
        <w:pStyle w:val="Recuodecorpodetexto"/>
        <w:ind w:firstLine="709"/>
        <w:rPr>
          <w:rFonts w:ascii="Times New Roman" w:hAnsi="Times New Roman" w:cs="Times New Roman"/>
        </w:rPr>
      </w:pPr>
      <w:r w:rsidRPr="00D11E22">
        <w:rPr>
          <w:rFonts w:ascii="Times New Roman" w:hAnsi="Times New Roman" w:cs="Times New Roman"/>
        </w:rPr>
        <w:t xml:space="preserve">Diante do exposto, opinamos pela </w:t>
      </w:r>
      <w:r w:rsidRPr="00D11E22">
        <w:rPr>
          <w:rFonts w:ascii="Times New Roman" w:hAnsi="Times New Roman" w:cs="Times New Roman"/>
          <w:b/>
        </w:rPr>
        <w:t xml:space="preserve">aprovação do Projeto de Lei nº </w:t>
      </w:r>
      <w:r w:rsidR="005C1747">
        <w:rPr>
          <w:rFonts w:ascii="Times New Roman" w:hAnsi="Times New Roman" w:cs="Times New Roman"/>
          <w:b/>
        </w:rPr>
        <w:t>027</w:t>
      </w:r>
      <w:r w:rsidR="0051156B" w:rsidRPr="0051156B">
        <w:rPr>
          <w:rFonts w:ascii="Times New Roman" w:hAnsi="Times New Roman" w:cs="Times New Roman"/>
          <w:b/>
        </w:rPr>
        <w:t>/202</w:t>
      </w:r>
      <w:r w:rsidR="005C1747">
        <w:rPr>
          <w:rFonts w:ascii="Times New Roman" w:hAnsi="Times New Roman" w:cs="Times New Roman"/>
          <w:b/>
        </w:rPr>
        <w:t>3</w:t>
      </w:r>
      <w:r w:rsidRPr="00D11E22">
        <w:rPr>
          <w:rFonts w:ascii="Times New Roman" w:hAnsi="Times New Roman" w:cs="Times New Roman"/>
        </w:rPr>
        <w:t>, em face de sua constitucionalidade</w:t>
      </w:r>
      <w:r w:rsidR="00897774">
        <w:rPr>
          <w:rFonts w:ascii="Times New Roman" w:hAnsi="Times New Roman" w:cs="Times New Roman"/>
        </w:rPr>
        <w:t>, nos termos acima</w:t>
      </w:r>
      <w:r w:rsidRPr="00D11E22">
        <w:rPr>
          <w:rFonts w:ascii="Times New Roman" w:hAnsi="Times New Roman" w:cs="Times New Roman"/>
        </w:rPr>
        <w:t>.</w:t>
      </w:r>
      <w:r w:rsidR="00897774">
        <w:rPr>
          <w:rFonts w:ascii="Times New Roman" w:hAnsi="Times New Roman" w:cs="Times New Roman"/>
        </w:rPr>
        <w:t xml:space="preserve">     </w:t>
      </w:r>
    </w:p>
    <w:p w14:paraId="2D337BE9" w14:textId="77777777" w:rsidR="00235AC9" w:rsidRPr="00D11E22" w:rsidRDefault="00235AC9" w:rsidP="00BE1D3D">
      <w:pPr>
        <w:spacing w:line="360" w:lineRule="auto"/>
        <w:ind w:firstLine="709"/>
        <w:jc w:val="both"/>
      </w:pPr>
      <w:r w:rsidRPr="00D11E22">
        <w:t xml:space="preserve">É o voto. </w:t>
      </w:r>
    </w:p>
    <w:p w14:paraId="2B2564F3" w14:textId="77777777" w:rsidR="00235AC9" w:rsidRPr="00D11E22" w:rsidRDefault="00235AC9" w:rsidP="00235AC9">
      <w:pPr>
        <w:spacing w:line="360" w:lineRule="auto"/>
        <w:ind w:firstLine="2340"/>
        <w:jc w:val="center"/>
      </w:pPr>
    </w:p>
    <w:p w14:paraId="22DCDC71" w14:textId="77777777" w:rsidR="00BE1D3D" w:rsidRDefault="00BE1D3D" w:rsidP="00235AC9">
      <w:pPr>
        <w:spacing w:line="360" w:lineRule="auto"/>
        <w:jc w:val="both"/>
        <w:rPr>
          <w:b/>
          <w:u w:val="single"/>
        </w:rPr>
      </w:pPr>
    </w:p>
    <w:p w14:paraId="6FFE9D98" w14:textId="77777777" w:rsidR="00BE1D3D" w:rsidRDefault="00BE1D3D" w:rsidP="00235AC9">
      <w:pPr>
        <w:spacing w:line="360" w:lineRule="auto"/>
        <w:jc w:val="both"/>
        <w:rPr>
          <w:b/>
          <w:u w:val="single"/>
        </w:rPr>
      </w:pPr>
    </w:p>
    <w:p w14:paraId="5361666E" w14:textId="77777777" w:rsidR="00BE1D3D" w:rsidRDefault="00BE1D3D" w:rsidP="00235AC9">
      <w:pPr>
        <w:spacing w:line="360" w:lineRule="auto"/>
        <w:jc w:val="both"/>
        <w:rPr>
          <w:b/>
          <w:u w:val="single"/>
        </w:rPr>
      </w:pPr>
    </w:p>
    <w:p w14:paraId="549E86CF" w14:textId="625E853D" w:rsidR="00235AC9" w:rsidRPr="00D11E22" w:rsidRDefault="00235AC9" w:rsidP="00235AC9">
      <w:pPr>
        <w:spacing w:line="360" w:lineRule="auto"/>
        <w:jc w:val="both"/>
        <w:rPr>
          <w:b/>
          <w:u w:val="single"/>
        </w:rPr>
      </w:pPr>
      <w:r w:rsidRPr="00D11E22">
        <w:rPr>
          <w:b/>
          <w:u w:val="single"/>
        </w:rPr>
        <w:lastRenderedPageBreak/>
        <w:t>PARECER DA COMISSÃO:</w:t>
      </w:r>
    </w:p>
    <w:p w14:paraId="60A68671" w14:textId="15BA56C8" w:rsidR="00235AC9" w:rsidRPr="00D11E22" w:rsidRDefault="00235AC9" w:rsidP="00235AC9">
      <w:pPr>
        <w:spacing w:line="360" w:lineRule="auto"/>
        <w:ind w:firstLine="1134"/>
        <w:jc w:val="both"/>
        <w:rPr>
          <w:rFonts w:eastAsia="Batang"/>
        </w:rPr>
      </w:pPr>
      <w:r w:rsidRPr="00D11E22">
        <w:rPr>
          <w:rFonts w:eastAsia="Calibri"/>
        </w:rPr>
        <w:t>Os membros da Comissão de Constituição, Justiça e Cidadania</w:t>
      </w:r>
      <w:r w:rsidR="0051156B">
        <w:rPr>
          <w:rFonts w:eastAsia="Calibri"/>
        </w:rPr>
        <w:t xml:space="preserve"> </w:t>
      </w:r>
      <w:r w:rsidRPr="00D11E22">
        <w:rPr>
          <w:rFonts w:eastAsia="Batang"/>
          <w:bCs/>
          <w:kern w:val="32"/>
        </w:rPr>
        <w:t xml:space="preserve">votam pela </w:t>
      </w:r>
      <w:r w:rsidRPr="00D11E22">
        <w:rPr>
          <w:rFonts w:eastAsia="Calibri"/>
          <w:b/>
        </w:rPr>
        <w:t>aprovação</w:t>
      </w:r>
      <w:r w:rsidRPr="00D11E22">
        <w:rPr>
          <w:rFonts w:eastAsia="Calibri"/>
        </w:rPr>
        <w:t xml:space="preserve"> do </w:t>
      </w:r>
      <w:r w:rsidRPr="00D11E22">
        <w:rPr>
          <w:rFonts w:eastAsia="Calibri"/>
          <w:b/>
        </w:rPr>
        <w:t xml:space="preserve">Projeto de Lei Ordinária nº </w:t>
      </w:r>
      <w:r w:rsidR="0051156B" w:rsidRPr="0051156B">
        <w:rPr>
          <w:rFonts w:eastAsia="Calibri"/>
          <w:b/>
        </w:rPr>
        <w:t>0</w:t>
      </w:r>
      <w:r w:rsidR="005C1747">
        <w:rPr>
          <w:rFonts w:eastAsia="Calibri"/>
          <w:b/>
        </w:rPr>
        <w:t>27</w:t>
      </w:r>
      <w:r w:rsidR="0051156B" w:rsidRPr="0051156B">
        <w:rPr>
          <w:rFonts w:eastAsia="Calibri"/>
          <w:b/>
        </w:rPr>
        <w:t>/202</w:t>
      </w:r>
      <w:r w:rsidR="005C1747">
        <w:rPr>
          <w:rFonts w:eastAsia="Calibri"/>
          <w:b/>
        </w:rPr>
        <w:t>3</w:t>
      </w:r>
      <w:r w:rsidRPr="00D11E22">
        <w:rPr>
          <w:rFonts w:eastAsia="Calibri"/>
        </w:rPr>
        <w:t>, nos termos do voto do Relator.</w:t>
      </w:r>
    </w:p>
    <w:p w14:paraId="6F8095AF" w14:textId="77777777" w:rsidR="00235AC9" w:rsidRPr="00D11E22" w:rsidRDefault="00235AC9" w:rsidP="00235AC9">
      <w:pPr>
        <w:spacing w:after="120"/>
        <w:ind w:firstLine="1134"/>
      </w:pPr>
      <w:r w:rsidRPr="00D11E22">
        <w:t>É o parecer.</w:t>
      </w:r>
    </w:p>
    <w:p w14:paraId="2872AA2E" w14:textId="78F03EDF" w:rsidR="00975D30" w:rsidRPr="00975D30" w:rsidRDefault="00975D30" w:rsidP="00975D30">
      <w:pPr>
        <w:spacing w:line="360" w:lineRule="auto"/>
        <w:ind w:firstLine="1134"/>
        <w:jc w:val="both"/>
        <w:rPr>
          <w:rFonts w:eastAsia="Calibri"/>
          <w:color w:val="000000"/>
          <w:sz w:val="22"/>
          <w:szCs w:val="22"/>
          <w:lang w:eastAsia="en-US"/>
        </w:rPr>
      </w:pPr>
      <w:r w:rsidRPr="00975D30">
        <w:rPr>
          <w:rFonts w:eastAsia="Calibri"/>
          <w:color w:val="000000"/>
          <w:sz w:val="22"/>
          <w:szCs w:val="22"/>
          <w:lang w:eastAsia="en-US"/>
        </w:rPr>
        <w:t xml:space="preserve">SALA DAS COMISSÕES “DEPUTADO LÉO FRANKLIM”, em </w:t>
      </w:r>
      <w:r w:rsidR="005C1747">
        <w:rPr>
          <w:rFonts w:eastAsia="Calibri"/>
          <w:color w:val="000000"/>
          <w:sz w:val="22"/>
          <w:szCs w:val="22"/>
          <w:lang w:eastAsia="en-US"/>
        </w:rPr>
        <w:t>06</w:t>
      </w:r>
      <w:r w:rsidRPr="00975D30">
        <w:rPr>
          <w:rFonts w:eastAsia="Calibri"/>
          <w:color w:val="000000"/>
          <w:sz w:val="22"/>
          <w:szCs w:val="22"/>
          <w:lang w:eastAsia="en-US"/>
        </w:rPr>
        <w:t xml:space="preserve"> de março de 202</w:t>
      </w:r>
      <w:r w:rsidR="005C1747">
        <w:rPr>
          <w:rFonts w:eastAsia="Calibri"/>
          <w:color w:val="000000"/>
          <w:sz w:val="22"/>
          <w:szCs w:val="22"/>
          <w:lang w:eastAsia="en-US"/>
        </w:rPr>
        <w:t>3</w:t>
      </w:r>
      <w:r w:rsidRPr="00975D30">
        <w:rPr>
          <w:rFonts w:eastAsia="Calibri"/>
          <w:color w:val="000000"/>
          <w:sz w:val="22"/>
          <w:szCs w:val="22"/>
          <w:lang w:eastAsia="en-US"/>
        </w:rPr>
        <w:t xml:space="preserve">.                                                                  </w:t>
      </w:r>
    </w:p>
    <w:p w14:paraId="32FB4559" w14:textId="51F7728A" w:rsidR="00235AC9" w:rsidRPr="00D11E22" w:rsidRDefault="00235AC9" w:rsidP="00235AC9">
      <w:pPr>
        <w:spacing w:after="120"/>
        <w:jc w:val="both"/>
      </w:pPr>
      <w:r w:rsidRPr="00D11E22">
        <w:t xml:space="preserve">                                                        </w:t>
      </w:r>
    </w:p>
    <w:p w14:paraId="6CA03B06" w14:textId="77777777" w:rsidR="00235AC9" w:rsidRPr="00D11E22" w:rsidRDefault="00235AC9" w:rsidP="00235AC9">
      <w:pPr>
        <w:spacing w:line="360" w:lineRule="auto"/>
        <w:ind w:firstLine="709"/>
        <w:jc w:val="both"/>
        <w:rPr>
          <w:color w:val="000000"/>
        </w:rPr>
      </w:pPr>
      <w:r w:rsidRPr="00D11E22">
        <w:t xml:space="preserve">                                                                    </w:t>
      </w:r>
      <w:r w:rsidRPr="00D11E22">
        <w:rPr>
          <w:color w:val="000000"/>
        </w:rPr>
        <w:t xml:space="preserve">                                                                               </w:t>
      </w:r>
    </w:p>
    <w:p w14:paraId="513D6C88" w14:textId="7609DA0B" w:rsidR="000C245B" w:rsidRPr="000C245B" w:rsidRDefault="00235AC9" w:rsidP="000C245B">
      <w:pPr>
        <w:autoSpaceDE w:val="0"/>
        <w:autoSpaceDN w:val="0"/>
        <w:adjustRightInd w:val="0"/>
        <w:spacing w:line="360" w:lineRule="auto"/>
        <w:ind w:left="3969" w:hanging="3685"/>
        <w:jc w:val="both"/>
        <w:rPr>
          <w:rFonts w:eastAsia="Calibri"/>
          <w:bCs/>
          <w:color w:val="000000"/>
        </w:rPr>
      </w:pPr>
      <w:r w:rsidRPr="00D11E22">
        <w:rPr>
          <w:rFonts w:eastAsia="Calibri"/>
          <w:b/>
          <w:color w:val="000000"/>
        </w:rPr>
        <w:t xml:space="preserve">                                                    </w:t>
      </w:r>
      <w:r w:rsidR="00BE1D3D">
        <w:rPr>
          <w:rFonts w:eastAsia="Calibri"/>
          <w:b/>
          <w:color w:val="000000"/>
        </w:rPr>
        <w:t xml:space="preserve">     </w:t>
      </w:r>
      <w:r w:rsidR="000C245B">
        <w:rPr>
          <w:rFonts w:eastAsia="Calibri"/>
          <w:b/>
          <w:color w:val="000000"/>
        </w:rPr>
        <w:t xml:space="preserve">     </w:t>
      </w:r>
      <w:r w:rsidR="000C245B" w:rsidRPr="000C245B">
        <w:rPr>
          <w:rFonts w:eastAsia="Calibri"/>
          <w:b/>
          <w:color w:val="000000"/>
        </w:rPr>
        <w:t>Presidente:</w:t>
      </w:r>
      <w:r w:rsidR="000C245B" w:rsidRPr="000C245B">
        <w:rPr>
          <w:rFonts w:eastAsia="Calibri"/>
          <w:bCs/>
          <w:color w:val="000000"/>
        </w:rPr>
        <w:t xml:space="preserve"> Deputado Carlos Lula</w:t>
      </w:r>
    </w:p>
    <w:p w14:paraId="3C798F00" w14:textId="77777777" w:rsidR="000C245B" w:rsidRPr="000C245B" w:rsidRDefault="000C245B" w:rsidP="000C245B">
      <w:pPr>
        <w:autoSpaceDE w:val="0"/>
        <w:autoSpaceDN w:val="0"/>
        <w:adjustRightInd w:val="0"/>
        <w:spacing w:line="360" w:lineRule="auto"/>
        <w:ind w:firstLine="284"/>
        <w:jc w:val="both"/>
        <w:rPr>
          <w:rFonts w:eastAsia="Calibri"/>
          <w:b/>
          <w:color w:val="000000"/>
        </w:rPr>
      </w:pPr>
    </w:p>
    <w:p w14:paraId="1E6FB491" w14:textId="5D94B1EF" w:rsidR="000C245B" w:rsidRPr="000C245B" w:rsidRDefault="000C245B" w:rsidP="000C245B">
      <w:pPr>
        <w:autoSpaceDE w:val="0"/>
        <w:autoSpaceDN w:val="0"/>
        <w:adjustRightInd w:val="0"/>
        <w:spacing w:line="360" w:lineRule="auto"/>
        <w:ind w:firstLine="284"/>
        <w:jc w:val="both"/>
        <w:rPr>
          <w:rFonts w:eastAsia="Calibri"/>
          <w:color w:val="000000"/>
        </w:rPr>
      </w:pPr>
      <w:r w:rsidRPr="000C245B">
        <w:rPr>
          <w:rFonts w:eastAsia="Calibri"/>
          <w:color w:val="000000"/>
        </w:rPr>
        <w:t xml:space="preserve">                                                                </w:t>
      </w:r>
      <w:r w:rsidRPr="000C245B">
        <w:rPr>
          <w:rFonts w:eastAsia="Calibri"/>
          <w:b/>
          <w:color w:val="000000"/>
        </w:rPr>
        <w:t>Relator</w:t>
      </w:r>
      <w:r w:rsidRPr="000C245B">
        <w:rPr>
          <w:rFonts w:eastAsia="Calibri"/>
          <w:color w:val="000000"/>
        </w:rPr>
        <w:t xml:space="preserve">: Deputado </w:t>
      </w:r>
      <w:r>
        <w:rPr>
          <w:rFonts w:eastAsia="Calibri"/>
          <w:color w:val="000000"/>
        </w:rPr>
        <w:t>Neto Evangelista</w:t>
      </w:r>
    </w:p>
    <w:p w14:paraId="3E6ECFAE" w14:textId="77777777" w:rsidR="000C245B" w:rsidRPr="000C245B" w:rsidRDefault="000C245B" w:rsidP="000C245B">
      <w:pPr>
        <w:autoSpaceDE w:val="0"/>
        <w:autoSpaceDN w:val="0"/>
        <w:adjustRightInd w:val="0"/>
        <w:spacing w:line="360" w:lineRule="auto"/>
        <w:ind w:firstLine="284"/>
        <w:jc w:val="both"/>
        <w:rPr>
          <w:rFonts w:eastAsia="Calibri"/>
          <w:color w:val="000000"/>
        </w:rPr>
      </w:pPr>
      <w:r w:rsidRPr="000C245B">
        <w:rPr>
          <w:rFonts w:eastAsia="Calibri"/>
          <w:color w:val="000000"/>
        </w:rPr>
        <w:t xml:space="preserve">                                                           </w:t>
      </w:r>
    </w:p>
    <w:p w14:paraId="3C22181C" w14:textId="77777777" w:rsidR="000C245B" w:rsidRPr="000C245B" w:rsidRDefault="000C245B" w:rsidP="000C245B">
      <w:pPr>
        <w:autoSpaceDE w:val="0"/>
        <w:autoSpaceDN w:val="0"/>
        <w:adjustRightInd w:val="0"/>
        <w:spacing w:line="360" w:lineRule="auto"/>
        <w:jc w:val="both"/>
        <w:rPr>
          <w:rFonts w:eastAsia="Calibri"/>
          <w:b/>
          <w:color w:val="000000"/>
        </w:rPr>
      </w:pPr>
      <w:r w:rsidRPr="000C245B">
        <w:rPr>
          <w:rFonts w:eastAsia="Calibri"/>
          <w:b/>
          <w:color w:val="000000"/>
        </w:rPr>
        <w:t xml:space="preserve"> Vota a favor:                                                             Vota contra:</w:t>
      </w:r>
    </w:p>
    <w:p w14:paraId="0303B21B" w14:textId="77777777" w:rsidR="000C245B" w:rsidRPr="000C245B" w:rsidRDefault="000C245B" w:rsidP="000C245B">
      <w:pPr>
        <w:autoSpaceDE w:val="0"/>
        <w:autoSpaceDN w:val="0"/>
        <w:adjustRightInd w:val="0"/>
        <w:spacing w:line="360" w:lineRule="auto"/>
        <w:jc w:val="both"/>
        <w:rPr>
          <w:rFonts w:eastAsia="Calibri"/>
          <w:color w:val="000000"/>
        </w:rPr>
      </w:pPr>
      <w:r w:rsidRPr="000C245B">
        <w:rPr>
          <w:rFonts w:eastAsia="Calibri"/>
          <w:color w:val="000000"/>
        </w:rPr>
        <w:t xml:space="preserve">Deputado Fernando </w:t>
      </w:r>
      <w:proofErr w:type="spellStart"/>
      <w:r w:rsidRPr="000C245B">
        <w:rPr>
          <w:rFonts w:eastAsia="Calibri"/>
          <w:color w:val="000000"/>
        </w:rPr>
        <w:t>Braide</w:t>
      </w:r>
      <w:proofErr w:type="spellEnd"/>
      <w:r w:rsidRPr="000C245B">
        <w:rPr>
          <w:rFonts w:eastAsia="Calibri"/>
          <w:color w:val="000000"/>
        </w:rPr>
        <w:t xml:space="preserve">                                          _________________________</w:t>
      </w:r>
    </w:p>
    <w:p w14:paraId="54FFCE5D" w14:textId="77777777" w:rsidR="000C245B" w:rsidRPr="000C245B" w:rsidRDefault="000C245B" w:rsidP="000C245B">
      <w:pPr>
        <w:autoSpaceDE w:val="0"/>
        <w:autoSpaceDN w:val="0"/>
        <w:adjustRightInd w:val="0"/>
        <w:spacing w:line="360" w:lineRule="auto"/>
        <w:jc w:val="both"/>
        <w:rPr>
          <w:rFonts w:eastAsia="Calibri"/>
          <w:color w:val="000000"/>
        </w:rPr>
      </w:pPr>
      <w:r w:rsidRPr="000C245B">
        <w:rPr>
          <w:rFonts w:eastAsia="Calibri"/>
          <w:color w:val="000000"/>
        </w:rPr>
        <w:t>Deputado Glalbert Cutrim                                           _________________________</w:t>
      </w:r>
    </w:p>
    <w:p w14:paraId="749C9E33" w14:textId="77777777" w:rsidR="000C245B" w:rsidRPr="000C245B" w:rsidRDefault="000C245B" w:rsidP="000C245B">
      <w:pPr>
        <w:autoSpaceDE w:val="0"/>
        <w:autoSpaceDN w:val="0"/>
        <w:adjustRightInd w:val="0"/>
        <w:spacing w:line="360" w:lineRule="auto"/>
        <w:jc w:val="both"/>
        <w:rPr>
          <w:rFonts w:eastAsia="Calibri"/>
          <w:color w:val="000000"/>
        </w:rPr>
      </w:pPr>
      <w:r w:rsidRPr="000C245B">
        <w:rPr>
          <w:rFonts w:eastAsia="Calibri"/>
          <w:color w:val="000000"/>
        </w:rPr>
        <w:t>Deputado Florêncio Net</w:t>
      </w:r>
      <w:bookmarkStart w:id="0" w:name="_GoBack"/>
      <w:bookmarkEnd w:id="0"/>
      <w:r w:rsidRPr="000C245B">
        <w:rPr>
          <w:rFonts w:eastAsia="Calibri"/>
          <w:color w:val="000000"/>
        </w:rPr>
        <w:t>o                                            _________________________</w:t>
      </w:r>
    </w:p>
    <w:p w14:paraId="669474AE" w14:textId="376DF141" w:rsidR="00641255" w:rsidRDefault="000C245B" w:rsidP="000C245B">
      <w:pPr>
        <w:autoSpaceDE w:val="0"/>
        <w:autoSpaceDN w:val="0"/>
        <w:adjustRightInd w:val="0"/>
        <w:spacing w:line="360" w:lineRule="auto"/>
        <w:jc w:val="both"/>
      </w:pPr>
      <w:r w:rsidRPr="000C245B">
        <w:rPr>
          <w:rFonts w:eastAsia="Calibri"/>
          <w:color w:val="000000"/>
        </w:rPr>
        <w:t>_________________________                                   _________________________</w:t>
      </w:r>
    </w:p>
    <w:sectPr w:rsidR="00641255" w:rsidSect="00D0596F">
      <w:headerReference w:type="default" r:id="rId16"/>
      <w:footerReference w:type="default" r:id="rId17"/>
      <w:pgSz w:w="11906" w:h="16838" w:code="9"/>
      <w:pgMar w:top="2835" w:right="1418" w:bottom="993"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1C18" w14:textId="77777777" w:rsidR="002D431B" w:rsidRDefault="007A75C8">
      <w:r>
        <w:separator/>
      </w:r>
    </w:p>
  </w:endnote>
  <w:endnote w:type="continuationSeparator" w:id="0">
    <w:p w14:paraId="5154FB6A" w14:textId="77777777" w:rsidR="002D431B" w:rsidRDefault="007A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815F" w14:textId="77777777" w:rsidR="00837891" w:rsidRDefault="007A75C8">
    <w:pPr>
      <w:pStyle w:val="Rodap"/>
      <w:jc w:val="right"/>
    </w:pPr>
    <w:r>
      <w:fldChar w:fldCharType="begin"/>
    </w:r>
    <w:r>
      <w:instrText xml:space="preserve"> PAGE   \* MERGEFORMAT </w:instrText>
    </w:r>
    <w:r>
      <w:fldChar w:fldCharType="separate"/>
    </w:r>
    <w:r>
      <w:rPr>
        <w:noProof/>
      </w:rPr>
      <w:t>1</w:t>
    </w:r>
    <w:r>
      <w:fldChar w:fldCharType="end"/>
    </w:r>
  </w:p>
  <w:p w14:paraId="6ADFBC20" w14:textId="77777777" w:rsidR="00837891" w:rsidRDefault="007B7A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CA3D9" w14:textId="77777777" w:rsidR="002D431B" w:rsidRDefault="007A75C8">
      <w:r>
        <w:separator/>
      </w:r>
    </w:p>
  </w:footnote>
  <w:footnote w:type="continuationSeparator" w:id="0">
    <w:p w14:paraId="3A0D550C" w14:textId="77777777" w:rsidR="002D431B" w:rsidRDefault="007A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D71A" w14:textId="67109191" w:rsidR="00837891" w:rsidRPr="001A7F5E" w:rsidRDefault="007A75C8" w:rsidP="00D0596F">
    <w:pPr>
      <w:pStyle w:val="Cabealho"/>
      <w:tabs>
        <w:tab w:val="center" w:pos="4702"/>
        <w:tab w:val="left" w:pos="6210"/>
      </w:tabs>
      <w:spacing w:line="0" w:lineRule="atLeast"/>
      <w:rPr>
        <w:b/>
        <w:color w:val="000080"/>
        <w:sz w:val="18"/>
        <w:szCs w:val="18"/>
      </w:rPr>
    </w:pPr>
    <w:r>
      <w:rPr>
        <w:noProof/>
      </w:rPr>
      <w:tab/>
    </w:r>
    <w:r w:rsidR="00235AC9" w:rsidRPr="00E9497E">
      <w:rPr>
        <w:noProof/>
        <w:sz w:val="18"/>
        <w:szCs w:val="18"/>
      </w:rPr>
      <w:drawing>
        <wp:inline distT="0" distB="0" distL="0" distR="0" wp14:anchorId="7C751B28" wp14:editId="1B78097C">
          <wp:extent cx="942975" cy="8191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160BC6CE" w14:textId="77777777" w:rsidR="00837891" w:rsidRPr="00D766DF" w:rsidRDefault="007A75C8" w:rsidP="00D0596F">
    <w:pPr>
      <w:pStyle w:val="Cabealho"/>
      <w:jc w:val="center"/>
      <w:rPr>
        <w:sz w:val="20"/>
        <w:szCs w:val="20"/>
      </w:rPr>
    </w:pPr>
    <w:r w:rsidRPr="00D766DF">
      <w:rPr>
        <w:sz w:val="20"/>
        <w:szCs w:val="20"/>
      </w:rPr>
      <w:t>ESTADO DO MARANHÃO</w:t>
    </w:r>
  </w:p>
  <w:p w14:paraId="5CD695D1" w14:textId="77777777" w:rsidR="00837891" w:rsidRDefault="007A75C8" w:rsidP="00D0596F">
    <w:pPr>
      <w:pStyle w:val="Cabealho"/>
      <w:jc w:val="center"/>
      <w:rPr>
        <w:b/>
        <w:sz w:val="20"/>
        <w:szCs w:val="20"/>
      </w:rPr>
    </w:pPr>
    <w:r w:rsidRPr="00D766DF">
      <w:rPr>
        <w:sz w:val="20"/>
        <w:szCs w:val="20"/>
      </w:rPr>
      <w:t>ASSEMBLÉIA LEGISLATIVA DO MARANHÃO</w:t>
    </w:r>
  </w:p>
  <w:p w14:paraId="2F3E499F" w14:textId="77777777" w:rsidR="00837891" w:rsidRPr="00D766DF" w:rsidRDefault="007A75C8" w:rsidP="00D0596F">
    <w:pPr>
      <w:pStyle w:val="Cabealho"/>
      <w:jc w:val="center"/>
      <w:rPr>
        <w:b/>
        <w:sz w:val="18"/>
        <w:szCs w:val="18"/>
      </w:rPr>
    </w:pPr>
    <w:r w:rsidRPr="00D766DF">
      <w:rPr>
        <w:b/>
        <w:sz w:val="18"/>
        <w:szCs w:val="18"/>
      </w:rPr>
      <w:t>INSTALADA EM 16 DE FEVERE</w:t>
    </w:r>
    <w:r>
      <w:rPr>
        <w:b/>
        <w:sz w:val="18"/>
        <w:szCs w:val="18"/>
      </w:rPr>
      <w:t>IR</w:t>
    </w:r>
    <w:r w:rsidRPr="00D766DF">
      <w:rPr>
        <w:b/>
        <w:sz w:val="18"/>
        <w:szCs w:val="18"/>
      </w:rPr>
      <w:t>O DE 1835</w:t>
    </w:r>
  </w:p>
  <w:p w14:paraId="039B1250" w14:textId="77777777" w:rsidR="00837891" w:rsidRPr="00352321" w:rsidRDefault="007A75C8" w:rsidP="00D0596F">
    <w:pPr>
      <w:pStyle w:val="Cabealho"/>
      <w:jc w:val="center"/>
    </w:pPr>
    <w:r w:rsidRPr="00D766DF">
      <w:rPr>
        <w:sz w:val="20"/>
        <w:szCs w:val="20"/>
      </w:rPr>
      <w:t>DIRETORIA LEGISLATIVA</w:t>
    </w:r>
  </w:p>
  <w:p w14:paraId="6F1A275B" w14:textId="77777777" w:rsidR="00837891" w:rsidRDefault="007B7A4E" w:rsidP="001513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C9"/>
    <w:rsid w:val="000C245B"/>
    <w:rsid w:val="000F7559"/>
    <w:rsid w:val="00205E21"/>
    <w:rsid w:val="00235AC9"/>
    <w:rsid w:val="00257515"/>
    <w:rsid w:val="002D431B"/>
    <w:rsid w:val="00422EB7"/>
    <w:rsid w:val="0051156B"/>
    <w:rsid w:val="00542A3E"/>
    <w:rsid w:val="005C1747"/>
    <w:rsid w:val="00632EF6"/>
    <w:rsid w:val="00641255"/>
    <w:rsid w:val="006C3648"/>
    <w:rsid w:val="0071515F"/>
    <w:rsid w:val="007A75C8"/>
    <w:rsid w:val="00897774"/>
    <w:rsid w:val="008B7C04"/>
    <w:rsid w:val="00975D30"/>
    <w:rsid w:val="00976D85"/>
    <w:rsid w:val="009B776F"/>
    <w:rsid w:val="00A612D5"/>
    <w:rsid w:val="00A77109"/>
    <w:rsid w:val="00B02F0A"/>
    <w:rsid w:val="00BB1B31"/>
    <w:rsid w:val="00BE1D3D"/>
    <w:rsid w:val="00C06863"/>
    <w:rsid w:val="00F7471B"/>
    <w:rsid w:val="00FA4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FA43"/>
  <w15:chartTrackingRefBased/>
  <w15:docId w15:val="{F9D911B2-7933-477C-B8F4-FDC1B4EB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235AC9"/>
    <w:pPr>
      <w:spacing w:line="360" w:lineRule="auto"/>
      <w:ind w:right="18" w:firstLine="1800"/>
      <w:jc w:val="both"/>
    </w:pPr>
    <w:rPr>
      <w:rFonts w:ascii="Arial" w:hAnsi="Arial" w:cs="Arial"/>
    </w:rPr>
  </w:style>
  <w:style w:type="character" w:customStyle="1" w:styleId="RecuodecorpodetextoChar">
    <w:name w:val="Recuo de corpo de texto Char"/>
    <w:basedOn w:val="Fontepargpadro"/>
    <w:link w:val="Recuodecorpodetexto"/>
    <w:rsid w:val="00235AC9"/>
    <w:rPr>
      <w:rFonts w:ascii="Arial" w:eastAsia="Times New Roman" w:hAnsi="Arial" w:cs="Arial"/>
      <w:sz w:val="24"/>
      <w:szCs w:val="24"/>
      <w:lang w:eastAsia="pt-BR"/>
    </w:rPr>
  </w:style>
  <w:style w:type="paragraph" w:styleId="Cabealho">
    <w:name w:val="header"/>
    <w:basedOn w:val="Normal"/>
    <w:link w:val="CabealhoChar"/>
    <w:rsid w:val="00235AC9"/>
    <w:pPr>
      <w:tabs>
        <w:tab w:val="center" w:pos="4252"/>
        <w:tab w:val="right" w:pos="8504"/>
      </w:tabs>
    </w:pPr>
  </w:style>
  <w:style w:type="character" w:customStyle="1" w:styleId="CabealhoChar">
    <w:name w:val="Cabeçalho Char"/>
    <w:basedOn w:val="Fontepargpadro"/>
    <w:link w:val="Cabealho"/>
    <w:rsid w:val="00235AC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35AC9"/>
    <w:pPr>
      <w:tabs>
        <w:tab w:val="center" w:pos="4252"/>
        <w:tab w:val="right" w:pos="8504"/>
      </w:tabs>
    </w:pPr>
  </w:style>
  <w:style w:type="character" w:customStyle="1" w:styleId="RodapChar">
    <w:name w:val="Rodapé Char"/>
    <w:basedOn w:val="Fontepargpadro"/>
    <w:link w:val="Rodap"/>
    <w:uiPriority w:val="99"/>
    <w:rsid w:val="00235AC9"/>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235AC9"/>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tuloChar">
    <w:name w:val="Subtítulo Char"/>
    <w:basedOn w:val="Fontepargpadro"/>
    <w:link w:val="Subttulo"/>
    <w:uiPriority w:val="11"/>
    <w:rsid w:val="00235AC9"/>
    <w:rPr>
      <w:rFonts w:asciiTheme="majorHAnsi" w:eastAsiaTheme="majorEastAsia" w:hAnsiTheme="majorHAnsi" w:cstheme="majorBidi"/>
      <w:i/>
      <w:iCs/>
      <w:color w:val="4472C4" w:themeColor="accent1"/>
      <w:spacing w:val="15"/>
      <w:sz w:val="24"/>
      <w:szCs w:val="24"/>
    </w:rPr>
  </w:style>
  <w:style w:type="paragraph" w:styleId="NormalWeb">
    <w:name w:val="Normal (Web)"/>
    <w:basedOn w:val="Normal"/>
    <w:uiPriority w:val="99"/>
    <w:rsid w:val="00235AC9"/>
    <w:pPr>
      <w:spacing w:before="100" w:beforeAutospacing="1" w:after="100" w:afterAutospacing="1"/>
    </w:pPr>
  </w:style>
  <w:style w:type="character" w:styleId="Hyperlink">
    <w:name w:val="Hyperlink"/>
    <w:basedOn w:val="Fontepargpadro"/>
    <w:uiPriority w:val="99"/>
    <w:unhideWhenUsed/>
    <w:rsid w:val="008B7C04"/>
    <w:rPr>
      <w:color w:val="0563C1" w:themeColor="hyperlink"/>
      <w:u w:val="single"/>
    </w:rPr>
  </w:style>
  <w:style w:type="character" w:styleId="MenoPendente">
    <w:name w:val="Unresolved Mention"/>
    <w:basedOn w:val="Fontepargpadro"/>
    <w:uiPriority w:val="99"/>
    <w:semiHidden/>
    <w:unhideWhenUsed/>
    <w:rsid w:val="008B7C04"/>
    <w:rPr>
      <w:color w:val="605E5C"/>
      <w:shd w:val="clear" w:color="auto" w:fill="E1DFDD"/>
    </w:rPr>
  </w:style>
  <w:style w:type="paragraph" w:styleId="Textodebalo">
    <w:name w:val="Balloon Text"/>
    <w:basedOn w:val="Normal"/>
    <w:link w:val="TextodebaloChar"/>
    <w:uiPriority w:val="99"/>
    <w:semiHidden/>
    <w:unhideWhenUsed/>
    <w:rsid w:val="00FA4F96"/>
    <w:rPr>
      <w:rFonts w:ascii="Segoe UI" w:hAnsi="Segoe UI" w:cs="Segoe UI"/>
      <w:sz w:val="18"/>
      <w:szCs w:val="18"/>
    </w:rPr>
  </w:style>
  <w:style w:type="character" w:customStyle="1" w:styleId="TextodebaloChar">
    <w:name w:val="Texto de balão Char"/>
    <w:basedOn w:val="Fontepargpadro"/>
    <w:link w:val="Textodebalo"/>
    <w:uiPriority w:val="99"/>
    <w:semiHidden/>
    <w:rsid w:val="00FA4F9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34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0641516/artigo-5-da-constitui&#231;&#227;o-federal-de-1988" TargetMode="External"/><Relationship Id="rId13" Type="http://schemas.openxmlformats.org/officeDocument/2006/relationships/hyperlink" Target="https://stf.jusbrasil.com.br/jurisprudencia/861805618/acao-direta-de-inconstitucionalidade-adi-5592-df-distrito-federal-4003862-60201610000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usbrasil.com.br/legislacao/128510890/constitui&#231;&#227;o-federal-constitui&#231;&#227;o-da-republica-federativa-do-brasil-1988" TargetMode="External"/><Relationship Id="rId12" Type="http://schemas.openxmlformats.org/officeDocument/2006/relationships/hyperlink" Target="https://www.jusbrasil.com.br/legislacao/128510890/constitui&#231;&#227;o-federal-constitui&#231;&#227;o-da-republica-federativa-do-brasil-1988"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jusbrasil.com.br/topicos/920107/artigo-196-da-constitui&#231;&#227;o-federal-de-1988" TargetMode="External"/><Relationship Id="rId11" Type="http://schemas.openxmlformats.org/officeDocument/2006/relationships/hyperlink" Target="https://www.jusbrasil.com.br/topicos/920107/artigo-196-da-constitui&#231;&#227;o-federal-de-1988" TargetMode="External"/><Relationship Id="rId5" Type="http://schemas.openxmlformats.org/officeDocument/2006/relationships/endnotes" Target="endnotes.xml"/><Relationship Id="rId15" Type="http://schemas.openxmlformats.org/officeDocument/2006/relationships/hyperlink" Target="https://stf.jusbrasil.com.br/jurisprudencia/1153698737/repercussao-geral-no-recurso-extraordinario-com-agravo-are-1267879-sp-1003284-8320178260428" TargetMode="External"/><Relationship Id="rId10" Type="http://schemas.openxmlformats.org/officeDocument/2006/relationships/hyperlink" Target="https://www.jusbrasil.com.br/legislacao/128510890/constitui&#231;&#227;o-federal-constitui&#231;&#227;o-da-republica-federativa-do-brasil-198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jusbrasil.com.br/topicos/10730517/inciso-xv-do-artigo-5-da-constitui&#231;&#227;o-federal-de-1988" TargetMode="External"/><Relationship Id="rId14" Type="http://schemas.openxmlformats.org/officeDocument/2006/relationships/hyperlink" Target="https://stf.jusbrasil.com.br/jurisprudencia/22059701/recurso-extraordinario-re-627189-sp-s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9872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Máneton Antunes Macêdo</dc:creator>
  <cp:keywords/>
  <dc:description/>
  <cp:lastModifiedBy>Máneton Antunes de Macedo</cp:lastModifiedBy>
  <cp:revision>2</cp:revision>
  <cp:lastPrinted>2023-02-28T11:55:00Z</cp:lastPrinted>
  <dcterms:created xsi:type="dcterms:W3CDTF">2023-03-06T19:21:00Z</dcterms:created>
  <dcterms:modified xsi:type="dcterms:W3CDTF">2023-03-06T19:21:00Z</dcterms:modified>
</cp:coreProperties>
</file>