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756F8682" w14:textId="401DB2C3" w:rsidR="00E61445" w:rsidRDefault="00345219" w:rsidP="006B05FE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  <w:r>
        <w:rPr>
          <w:iCs/>
        </w:rPr>
        <w:t>Institui o Programa de</w:t>
      </w:r>
      <w:r w:rsidR="00304AC6">
        <w:rPr>
          <w:iCs/>
        </w:rPr>
        <w:t xml:space="preserve"> Atendimento Especializado, para diagnóstico, tratamento e acompanhamento dos educandos com transtornos específicos do desenvolvimento das habilidades escolares, nas instituições públicas e privadas de ensino no Estado do Maranhão</w:t>
      </w:r>
      <w:r w:rsidR="006B05FE" w:rsidRPr="00922D04">
        <w:rPr>
          <w:rStyle w:val="texto"/>
        </w:rPr>
        <w:t>.</w:t>
      </w:r>
    </w:p>
    <w:p w14:paraId="5133ADF7" w14:textId="77777777" w:rsidR="008C371A" w:rsidRPr="00922D04" w:rsidRDefault="008C371A" w:rsidP="006B05FE">
      <w:pPr>
        <w:pStyle w:val="Ementa"/>
        <w:tabs>
          <w:tab w:val="left" w:pos="1418"/>
        </w:tabs>
        <w:spacing w:line="240" w:lineRule="auto"/>
        <w:ind w:left="5245"/>
        <w:rPr>
          <w:rStyle w:val="texto"/>
        </w:rPr>
      </w:pPr>
    </w:p>
    <w:p w14:paraId="02CB3176" w14:textId="77777777" w:rsidR="001D3010" w:rsidRPr="009C6584" w:rsidRDefault="001D3010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CEADD7D" w14:textId="40BE9005" w:rsidR="00F80786" w:rsidRDefault="00943D43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Cs w:val="24"/>
        </w:rPr>
        <w:t>A ASSEMBLEIA LEGISLATIVA DO ESTADO DO MARANHÃO</w:t>
      </w: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50B9F93B" w14:textId="4B3697FC" w:rsidR="00922D04" w:rsidRDefault="00922D04" w:rsidP="00922D04">
      <w:r w:rsidRPr="00304AC6">
        <w:t>Art. 1°</w:t>
      </w:r>
      <w:r w:rsidRPr="0052385E">
        <w:t xml:space="preserve"> </w:t>
      </w:r>
      <w:r w:rsidR="00345219">
        <w:t>Fica instituído o Programa de</w:t>
      </w:r>
      <w:r w:rsidR="00F02334">
        <w:t xml:space="preserve"> Atendimento Educacional Especializado, para diagnóstico, tratamento e acompanhamento dos educandos com transtornos específicos do desenvolvimento das habilidades escolares, nas </w:t>
      </w:r>
      <w:r w:rsidR="006D7ED0">
        <w:t>instituições públicas e privadas de ensino no Estado do Maranhão.</w:t>
      </w:r>
    </w:p>
    <w:p w14:paraId="785F47F5" w14:textId="77777777" w:rsidR="00304AC6" w:rsidRPr="00304AC6" w:rsidRDefault="00304AC6" w:rsidP="00304AC6">
      <w:r w:rsidRPr="00304AC6">
        <w:t>Parágrafo único. Considera-se transtorno específico do desenvolvimento das habilidades escolares qualquer dificuldade de aprendizagem, como Transtorno de Déficit de Atenção e Hiperatividade (TDAH), Transtorno de Tique Motor, Transtorno da Fala e Dislexia.</w:t>
      </w:r>
    </w:p>
    <w:p w14:paraId="7A5879F6" w14:textId="77777777" w:rsidR="00304AC6" w:rsidRPr="00304AC6" w:rsidRDefault="00304AC6" w:rsidP="00304AC6">
      <w:r w:rsidRPr="00304AC6">
        <w:t>Art. 2º O Programa de Atendimento Educacional Especializado no estado do Maranhão inclui:</w:t>
      </w:r>
    </w:p>
    <w:p w14:paraId="2F4BCB3A" w14:textId="77777777" w:rsidR="00304AC6" w:rsidRPr="00304AC6" w:rsidRDefault="00304AC6" w:rsidP="00304AC6">
      <w:pPr>
        <w:numPr>
          <w:ilvl w:val="0"/>
          <w:numId w:val="10"/>
        </w:numPr>
      </w:pPr>
      <w:r w:rsidRPr="00304AC6">
        <w:t>A identificação precoce dos transtornos, ainda na fase do ensino fundamental;</w:t>
      </w:r>
    </w:p>
    <w:p w14:paraId="09C04977" w14:textId="77777777" w:rsidR="00304AC6" w:rsidRPr="00304AC6" w:rsidRDefault="00304AC6" w:rsidP="00304AC6">
      <w:pPr>
        <w:numPr>
          <w:ilvl w:val="0"/>
          <w:numId w:val="10"/>
        </w:numPr>
      </w:pPr>
      <w:r w:rsidRPr="00304AC6">
        <w:t>O encaminhamento dos educandos para diagnóstico;</w:t>
      </w:r>
    </w:p>
    <w:p w14:paraId="30CF0218" w14:textId="77777777" w:rsidR="00304AC6" w:rsidRPr="00304AC6" w:rsidRDefault="00304AC6" w:rsidP="00304AC6">
      <w:pPr>
        <w:numPr>
          <w:ilvl w:val="0"/>
          <w:numId w:val="10"/>
        </w:numPr>
      </w:pPr>
      <w:r w:rsidRPr="00304AC6">
        <w:t>O suporte educacional especializado na rede de ensino regular;</w:t>
      </w:r>
    </w:p>
    <w:p w14:paraId="10901E79" w14:textId="77777777" w:rsidR="00304AC6" w:rsidRPr="00304AC6" w:rsidRDefault="00304AC6" w:rsidP="00304AC6">
      <w:pPr>
        <w:numPr>
          <w:ilvl w:val="0"/>
          <w:numId w:val="10"/>
        </w:numPr>
      </w:pPr>
      <w:r w:rsidRPr="00304AC6">
        <w:t>O suporte especializado na rede de saúde;</w:t>
      </w:r>
    </w:p>
    <w:p w14:paraId="03EDD3F0" w14:textId="77777777" w:rsidR="00304AC6" w:rsidRPr="00304AC6" w:rsidRDefault="00304AC6" w:rsidP="00304AC6">
      <w:pPr>
        <w:numPr>
          <w:ilvl w:val="0"/>
          <w:numId w:val="10"/>
        </w:numPr>
      </w:pPr>
      <w:r w:rsidRPr="00304AC6">
        <w:t>O acompanhamento do aprendizado e da saúde dos educandos, envolvendo família, educadores e especialistas da área da saúde.</w:t>
      </w:r>
    </w:p>
    <w:p w14:paraId="55E858B5" w14:textId="77777777" w:rsidR="00304AC6" w:rsidRPr="00304AC6" w:rsidRDefault="00304AC6" w:rsidP="00304AC6">
      <w:r w:rsidRPr="00304AC6">
        <w:t>Art. 3º Na execução do Programa de Atendimento Educacional Especializado, serão seguidas as seguintes diretrizes:</w:t>
      </w:r>
    </w:p>
    <w:p w14:paraId="4D9FEC46" w14:textId="77777777" w:rsidR="00304AC6" w:rsidRPr="00304AC6" w:rsidRDefault="00304AC6" w:rsidP="00304AC6">
      <w:pPr>
        <w:numPr>
          <w:ilvl w:val="0"/>
          <w:numId w:val="11"/>
        </w:numPr>
      </w:pPr>
      <w:r w:rsidRPr="00304AC6">
        <w:t>Garantia de cuidado e proteção aos educandos com transtornos específicos do desenvolvimento das habilidades escolares, como TDAH, Transtorno de Tique Motor, Transtorno da Fala, Dislexia, ou outros transtornos de aprendizagem, assegurando o melhor desenvolvimento físico, mental, moral e social, evitando qualquer forma de violência, negligência e discriminação;</w:t>
      </w:r>
    </w:p>
    <w:p w14:paraId="0B380F14" w14:textId="77777777" w:rsidR="00304AC6" w:rsidRPr="00304AC6" w:rsidRDefault="00304AC6" w:rsidP="00304AC6">
      <w:pPr>
        <w:numPr>
          <w:ilvl w:val="0"/>
          <w:numId w:val="11"/>
        </w:numPr>
      </w:pPr>
      <w:r w:rsidRPr="00304AC6">
        <w:t>Garantia de uma educação de qualidade e inclusiva durante toda a vida escolar dos educandos;</w:t>
      </w:r>
    </w:p>
    <w:p w14:paraId="00A716FC" w14:textId="77777777" w:rsidR="00304AC6" w:rsidRPr="00304AC6" w:rsidRDefault="00304AC6" w:rsidP="00304AC6">
      <w:pPr>
        <w:numPr>
          <w:ilvl w:val="0"/>
          <w:numId w:val="11"/>
        </w:numPr>
      </w:pPr>
      <w:r w:rsidRPr="00304AC6">
        <w:t xml:space="preserve">Aperfeiçoamento contínuo dos profissionais da rede escolar em didática pedagógica, </w:t>
      </w:r>
      <w:r w:rsidRPr="00304AC6">
        <w:lastRenderedPageBreak/>
        <w:t>conforme as necessidades específicas dos educandos;</w:t>
      </w:r>
    </w:p>
    <w:p w14:paraId="2529752D" w14:textId="77777777" w:rsidR="00304AC6" w:rsidRPr="00304AC6" w:rsidRDefault="00304AC6" w:rsidP="00304AC6">
      <w:pPr>
        <w:numPr>
          <w:ilvl w:val="0"/>
          <w:numId w:val="11"/>
        </w:numPr>
      </w:pPr>
      <w:r w:rsidRPr="00304AC6">
        <w:t>Acompanhamento contínuo do desenvolvimento educacional dos educandos, implementando novas práticas e estratégias;</w:t>
      </w:r>
    </w:p>
    <w:p w14:paraId="4280F898" w14:textId="77777777" w:rsidR="00304AC6" w:rsidRPr="00304AC6" w:rsidRDefault="00304AC6" w:rsidP="00304AC6">
      <w:pPr>
        <w:numPr>
          <w:ilvl w:val="0"/>
          <w:numId w:val="11"/>
        </w:numPr>
      </w:pPr>
      <w:r w:rsidRPr="00304AC6">
        <w:t>Manutenção de registros com laudos, acompanhamentos, protocolos de atendimento e outros documentos essenciais, mantendo atualizado o tripé família, escola e profissionais da saúde;</w:t>
      </w:r>
    </w:p>
    <w:p w14:paraId="68CDBBDE" w14:textId="77777777" w:rsidR="00304AC6" w:rsidRPr="00304AC6" w:rsidRDefault="00304AC6" w:rsidP="00304AC6">
      <w:pPr>
        <w:numPr>
          <w:ilvl w:val="0"/>
          <w:numId w:val="11"/>
        </w:numPr>
      </w:pPr>
      <w:r w:rsidRPr="00304AC6">
        <w:t>Promoção de campanhas contra o preconceito e o bullying no ambiente escolar;</w:t>
      </w:r>
    </w:p>
    <w:p w14:paraId="37AD114F" w14:textId="77777777" w:rsidR="00304AC6" w:rsidRPr="00304AC6" w:rsidRDefault="00304AC6" w:rsidP="00304AC6">
      <w:pPr>
        <w:numPr>
          <w:ilvl w:val="0"/>
          <w:numId w:val="11"/>
        </w:numPr>
      </w:pPr>
      <w:r w:rsidRPr="00304AC6">
        <w:t>Manutenção da interação e participação familiar em todo o processo;</w:t>
      </w:r>
    </w:p>
    <w:p w14:paraId="057DDF7E" w14:textId="77777777" w:rsidR="00304AC6" w:rsidRPr="00304AC6" w:rsidRDefault="00304AC6" w:rsidP="00304AC6">
      <w:pPr>
        <w:numPr>
          <w:ilvl w:val="0"/>
          <w:numId w:val="11"/>
        </w:numPr>
      </w:pPr>
      <w:r w:rsidRPr="00304AC6">
        <w:t>Articulação com outras políticas públicas.</w:t>
      </w:r>
    </w:p>
    <w:p w14:paraId="48F38571" w14:textId="77777777" w:rsidR="00304AC6" w:rsidRPr="00304AC6" w:rsidRDefault="00304AC6" w:rsidP="00304AC6">
      <w:r w:rsidRPr="00304AC6">
        <w:t>Art. 4º O diagnóstico deve ser realizado por uma equipe multidisciplinar da rede pública de saúde do Maranhão, composta por especialistas em neurologia, fonoaudiologia, neuropsicologia, psicologia e psicopedagogia.</w:t>
      </w:r>
    </w:p>
    <w:p w14:paraId="41532162" w14:textId="77777777" w:rsidR="00304AC6" w:rsidRPr="00304AC6" w:rsidRDefault="00304AC6" w:rsidP="00304AC6">
      <w:r w:rsidRPr="00304AC6">
        <w:t>Art. 5º Para garantir a identificação precoce dos transtornos de aprendizagem no ambiente escolar, serão criados programas de formação contínua para professores, educadores e profissionais da educação, além de apoio às famílias dos educandos diagnosticados com transtornos.</w:t>
      </w:r>
    </w:p>
    <w:p w14:paraId="2D348492" w14:textId="77777777" w:rsidR="00304AC6" w:rsidRPr="00304AC6" w:rsidRDefault="00304AC6" w:rsidP="00304AC6">
      <w:r w:rsidRPr="00304AC6">
        <w:t>Art. 6º Após o diagnóstico do transtorno, o tratamento será definido por profissionais da saúde e da educação.</w:t>
      </w:r>
    </w:p>
    <w:p w14:paraId="52CE91F4" w14:textId="77777777" w:rsidR="00304AC6" w:rsidRPr="00304AC6" w:rsidRDefault="00304AC6" w:rsidP="00304AC6">
      <w:r w:rsidRPr="00304AC6">
        <w:t>Parágrafo único. Fica assegurado ao educando diagnosticado com transtornos de aprendizagem o acesso a métodos e atividades específicas, recursos de acessibilidade e material pedagógico ou didático para desenvolver e estimular seu potencial.</w:t>
      </w:r>
    </w:p>
    <w:p w14:paraId="59C23154" w14:textId="77777777" w:rsidR="00304AC6" w:rsidRPr="00304AC6" w:rsidRDefault="00304AC6" w:rsidP="00304AC6">
      <w:r w:rsidRPr="00304AC6">
        <w:t>Art. 7º As despesas decorrentes da execução desta Lei correrão por conta das dotações orçamentárias próprias, suplementadas se necessário.</w:t>
      </w:r>
    </w:p>
    <w:p w14:paraId="0F615F80" w14:textId="0325DA99" w:rsidR="00F52836" w:rsidRPr="00EC6A39" w:rsidRDefault="00304AC6" w:rsidP="00F52836">
      <w:r w:rsidRPr="00304AC6">
        <w:t>Art. 8º Esta Lei entra em vigor na data de sua publicação.</w:t>
      </w:r>
    </w:p>
    <w:p w14:paraId="4A12E757" w14:textId="77777777" w:rsidR="00291401" w:rsidRDefault="00291401" w:rsidP="00A57935">
      <w:pPr>
        <w:tabs>
          <w:tab w:val="left" w:pos="1418"/>
        </w:tabs>
        <w:jc w:val="center"/>
        <w:rPr>
          <w:lang w:eastAsia="pt-BR"/>
        </w:rPr>
      </w:pPr>
    </w:p>
    <w:p w14:paraId="64557A0E" w14:textId="04B698EF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304AC6">
        <w:rPr>
          <w:rFonts w:cs="Times New Roman"/>
          <w:iCs/>
          <w:szCs w:val="24"/>
        </w:rPr>
        <w:t>1</w:t>
      </w:r>
      <w:r w:rsidR="0021619A">
        <w:rPr>
          <w:rFonts w:cs="Times New Roman"/>
          <w:iCs/>
          <w:szCs w:val="24"/>
        </w:rPr>
        <w:t>3</w:t>
      </w:r>
      <w:r w:rsidRPr="00027D6B">
        <w:rPr>
          <w:rFonts w:cs="Times New Roman"/>
          <w:iCs/>
          <w:szCs w:val="24"/>
        </w:rPr>
        <w:t xml:space="preserve"> de </w:t>
      </w:r>
      <w:r w:rsidR="00922D04">
        <w:rPr>
          <w:rFonts w:cs="Times New Roman"/>
          <w:iCs/>
          <w:szCs w:val="24"/>
        </w:rPr>
        <w:t>fevereiro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280EB6D0" w14:textId="77777777" w:rsidR="0021619A" w:rsidRDefault="0021619A" w:rsidP="00304AC6">
      <w:pPr>
        <w:spacing w:line="240" w:lineRule="auto"/>
        <w:jc w:val="center"/>
        <w:rPr>
          <w:rFonts w:cs="Times New Roman"/>
          <w:szCs w:val="24"/>
        </w:rPr>
      </w:pPr>
    </w:p>
    <w:p w14:paraId="1B250AB7" w14:textId="77777777" w:rsidR="0021619A" w:rsidRDefault="0021619A" w:rsidP="00304AC6">
      <w:pPr>
        <w:spacing w:line="240" w:lineRule="auto"/>
        <w:jc w:val="center"/>
        <w:rPr>
          <w:rFonts w:cs="Times New Roman"/>
          <w:szCs w:val="24"/>
        </w:rPr>
      </w:pPr>
    </w:p>
    <w:p w14:paraId="5DE0BCD5" w14:textId="77777777" w:rsidR="0021619A" w:rsidRDefault="0021619A" w:rsidP="00304AC6">
      <w:pPr>
        <w:spacing w:line="240" w:lineRule="auto"/>
        <w:jc w:val="center"/>
        <w:rPr>
          <w:rFonts w:cs="Times New Roman"/>
          <w:szCs w:val="24"/>
        </w:rPr>
      </w:pPr>
    </w:p>
    <w:p w14:paraId="14671EF2" w14:textId="07CFF183" w:rsidR="00922D04" w:rsidRPr="00AA20EC" w:rsidRDefault="00943D43" w:rsidP="00AA20E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55240F20" w14:textId="77777777" w:rsidR="00AA20EC" w:rsidRPr="00AA20EC" w:rsidRDefault="00977FDC" w:rsidP="00AA20EC">
      <w:r>
        <w:t xml:space="preserve">                    </w:t>
      </w:r>
      <w:r w:rsidR="00AA20EC" w:rsidRPr="00AA20EC">
        <w:t>A educação inclusiva é um pilar fundamental para o desenvolvimento de uma sociedade mais justa e igualitária. No estado do Maranhão, a implementação do Programa de Atendimento Educacional Especializado é crucial para garantir que todos os educandos, independentemente de suas dificuldades de aprendizagem, recebam o suporte necessário para alcançar seu pleno potencial.</w:t>
      </w:r>
    </w:p>
    <w:p w14:paraId="636528DF" w14:textId="2BD9DE6F" w:rsidR="00AA20EC" w:rsidRPr="00AA20EC" w:rsidRDefault="00AA20EC" w:rsidP="00AA20EC">
      <w:r>
        <w:t xml:space="preserve">                   </w:t>
      </w:r>
      <w:r w:rsidRPr="00AA20EC">
        <w:t>Os transtornos específicos do desenvolvimento das habilidades escolares, como Transtorno de Déficit de Atenção e Hiperatividade (TDAH), Transtorno de Tique Motor, Transtorno da Fala e Dislexia, são condições que afetam significativamente o desempenho escolar e a qualidade de vida dos alunos. Sem um diagnóstico precoce e um acompanhamento especializado, esses educandos correm o risco de serem marginalizados e de não terem acesso às mesmas oportunidades de desenvolvimento que seus pares.</w:t>
      </w:r>
    </w:p>
    <w:p w14:paraId="3ADDE295" w14:textId="5D4035B1" w:rsidR="00AA20EC" w:rsidRPr="00AA20EC" w:rsidRDefault="00AA20EC" w:rsidP="00AA20EC">
      <w:r>
        <w:t xml:space="preserve">                   </w:t>
      </w:r>
      <w:r w:rsidRPr="00AA20EC">
        <w:t>Este projeto de lei tem como objetivo assegurar que esses educandos recebam o suporte adequado tanto na rede de ensino regular quanto na rede de saúde, promovendo uma abordagem integrada que envolve a família, os educadores e os profissionais de saúde. Além disso, o projeto reforça a importância do aprimoramento contínuo dos profissionais da educação, garantindo que estejam capacitados para atender às necessidades específicas dos alunos.</w:t>
      </w:r>
    </w:p>
    <w:p w14:paraId="6D4A335C" w14:textId="00AA2A81" w:rsidR="00AA20EC" w:rsidRPr="00AA20EC" w:rsidRDefault="00AA20EC" w:rsidP="00AA20EC">
      <w:r>
        <w:t xml:space="preserve">                  </w:t>
      </w:r>
      <w:r w:rsidRPr="00AA20EC">
        <w:t>Ao promover a identificação antecipada dos transtornos, o encaminhamento para diagnóstico e o monitoramento constante do desenvolvimento educacional, o programa visa proporcionar uma educação de qualidade e inclusiva, livre de preconceitos e discriminação. A manutenção de prontuários e a interação constante entre a família, a escola e os profissionais de saúde asseguram um acompanhamento holístico e personalizado para cada educando.</w:t>
      </w:r>
    </w:p>
    <w:p w14:paraId="7C2CD7DB" w14:textId="122DFE8C" w:rsidR="00977FDC" w:rsidRDefault="00AA20EC" w:rsidP="00922D04">
      <w:r>
        <w:t xml:space="preserve">                 </w:t>
      </w:r>
      <w:r w:rsidRPr="00AA20EC">
        <w:t>Este projeto de lei é um passo essencial para a construção de um sistema educacional mais inclusivo e eficiente no Maranhão, garantindo que todos os alunos tenham acesso a uma educação de qualidade e possam desenvolver plenamente suas habilidades e potencialidades.</w:t>
      </w:r>
    </w:p>
    <w:p w14:paraId="3A696328" w14:textId="77777777" w:rsidR="00AA20EC" w:rsidRPr="00AA20EC" w:rsidRDefault="00AA20EC" w:rsidP="00922D04"/>
    <w:p w14:paraId="64557A52" w14:textId="16A6C183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304AC6">
        <w:rPr>
          <w:rFonts w:cs="Times New Roman"/>
          <w:iCs/>
          <w:szCs w:val="24"/>
        </w:rPr>
        <w:t>1</w:t>
      </w:r>
      <w:r w:rsidR="0021619A">
        <w:rPr>
          <w:rFonts w:cs="Times New Roman"/>
          <w:iCs/>
          <w:szCs w:val="24"/>
        </w:rPr>
        <w:t>3</w:t>
      </w:r>
      <w:r w:rsidRPr="00027D6B">
        <w:rPr>
          <w:rFonts w:cs="Times New Roman"/>
          <w:iCs/>
          <w:szCs w:val="24"/>
        </w:rPr>
        <w:t xml:space="preserve"> de </w:t>
      </w:r>
      <w:r w:rsidR="00977FDC">
        <w:rPr>
          <w:rFonts w:cs="Times New Roman"/>
          <w:iCs/>
          <w:szCs w:val="24"/>
        </w:rPr>
        <w:t>fevereiro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2994284B" w14:textId="77777777" w:rsidR="0021619A" w:rsidRPr="002956E7" w:rsidRDefault="0021619A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E8012E">
      <w:headerReference w:type="default" r:id="rId7"/>
      <w:pgSz w:w="11906" w:h="16838" w:code="9"/>
      <w:pgMar w:top="1701" w:right="170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E8A42" w14:textId="77777777" w:rsidR="00CC251A" w:rsidRDefault="00CC251A">
      <w:pPr>
        <w:spacing w:line="240" w:lineRule="auto"/>
      </w:pPr>
      <w:r>
        <w:separator/>
      </w:r>
    </w:p>
  </w:endnote>
  <w:endnote w:type="continuationSeparator" w:id="0">
    <w:p w14:paraId="56882370" w14:textId="77777777" w:rsidR="00CC251A" w:rsidRDefault="00CC2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D7568" w14:textId="77777777" w:rsidR="00CC251A" w:rsidRDefault="00CC251A">
      <w:pPr>
        <w:spacing w:line="240" w:lineRule="auto"/>
      </w:pPr>
      <w:r>
        <w:separator/>
      </w:r>
    </w:p>
  </w:footnote>
  <w:footnote w:type="continuationSeparator" w:id="0">
    <w:p w14:paraId="1FC187EA" w14:textId="77777777" w:rsidR="00CC251A" w:rsidRDefault="00CC2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A5D" w14:textId="77777777" w:rsidR="00F4017D" w:rsidRPr="00D63DCA" w:rsidRDefault="00EA0F75" w:rsidP="00D63DCA">
    <w:pPr>
      <w:pStyle w:val="Cabealho"/>
      <w:jc w:val="center"/>
      <w:rPr>
        <w:rFonts w:cs="Times New Roman"/>
        <w:noProof/>
        <w:sz w:val="18"/>
        <w:szCs w:val="18"/>
      </w:rPr>
    </w:pPr>
    <w:r w:rsidRPr="00D63DCA">
      <w:rPr>
        <w:rFonts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7"/>
  </w:num>
  <w:num w:numId="4" w16cid:durableId="380985983">
    <w:abstractNumId w:val="3"/>
  </w:num>
  <w:num w:numId="5" w16cid:durableId="605191468">
    <w:abstractNumId w:val="9"/>
  </w:num>
  <w:num w:numId="6" w16cid:durableId="1654292249">
    <w:abstractNumId w:val="10"/>
  </w:num>
  <w:num w:numId="7" w16cid:durableId="396318842">
    <w:abstractNumId w:val="5"/>
  </w:num>
  <w:num w:numId="8" w16cid:durableId="1244602064">
    <w:abstractNumId w:val="8"/>
  </w:num>
  <w:num w:numId="9" w16cid:durableId="1930121377">
    <w:abstractNumId w:val="6"/>
  </w:num>
  <w:num w:numId="10" w16cid:durableId="1218277340">
    <w:abstractNumId w:val="4"/>
  </w:num>
  <w:num w:numId="11" w16cid:durableId="168732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E5195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1619A"/>
    <w:rsid w:val="00226AE7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0BAD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6E3B"/>
    <w:rsid w:val="00343E51"/>
    <w:rsid w:val="00345219"/>
    <w:rsid w:val="0034530C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5C7D"/>
    <w:rsid w:val="00520149"/>
    <w:rsid w:val="00525DD4"/>
    <w:rsid w:val="0052664D"/>
    <w:rsid w:val="005270D4"/>
    <w:rsid w:val="005305AF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251C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15607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4AC0"/>
    <w:rsid w:val="00697125"/>
    <w:rsid w:val="006A35C9"/>
    <w:rsid w:val="006A5761"/>
    <w:rsid w:val="006A65E7"/>
    <w:rsid w:val="006B05FE"/>
    <w:rsid w:val="006B255F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6DD8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109F"/>
    <w:rsid w:val="00CB2FB6"/>
    <w:rsid w:val="00CC033E"/>
    <w:rsid w:val="00CC251A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C13DF"/>
    <w:rsid w:val="00DC25A4"/>
    <w:rsid w:val="00DC3F1C"/>
    <w:rsid w:val="00DC666E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3</cp:revision>
  <dcterms:created xsi:type="dcterms:W3CDTF">2025-02-10T16:57:00Z</dcterms:created>
  <dcterms:modified xsi:type="dcterms:W3CDTF">2025-02-13T12:34:00Z</dcterms:modified>
</cp:coreProperties>
</file>