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CCCDB">
      <w:pPr>
        <w:spacing w:before="240" w:after="240" w:line="240" w:lineRule="auto"/>
        <w:jc w:val="center"/>
        <w:rPr>
          <w:rFonts w:ascii="Times New Roman" w:hAnsi="Times New Roman" w:eastAsia="Times New Roman" w:cs="Times New Roman"/>
          <w:b/>
          <w:sz w:val="24"/>
          <w:szCs w:val="24"/>
          <w:u w:val="single"/>
        </w:rPr>
      </w:pPr>
      <w:bookmarkStart w:id="0" w:name="_GoBack"/>
      <w:bookmarkEnd w:id="0"/>
      <w:r>
        <w:rPr>
          <w:rFonts w:ascii="Times New Roman" w:hAnsi="Times New Roman" w:eastAsia="Times New Roman" w:cs="Times New Roman"/>
          <w:b/>
          <w:sz w:val="24"/>
          <w:szCs w:val="24"/>
          <w:u w:val="single"/>
        </w:rPr>
        <w:t>COMISSÃO DE CONSTITUIÇÃO, JUSTIÇA E CIDADANIA</w:t>
      </w:r>
    </w:p>
    <w:p w14:paraId="59AC479C">
      <w:pPr>
        <w:spacing w:before="240" w:after="240" w:line="240" w:lineRule="auto"/>
        <w:jc w:val="center"/>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P A R E C E R Nº 217/2025</w:t>
      </w:r>
    </w:p>
    <w:p w14:paraId="41440A9B">
      <w:pPr>
        <w:spacing w:before="240" w:after="240"/>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RELATÓRIO:</w:t>
      </w:r>
    </w:p>
    <w:p w14:paraId="31A0983E">
      <w:pPr>
        <w:pStyle w:val="19"/>
        <w:numPr>
          <w:ilvl w:val="0"/>
          <w:numId w:val="1"/>
        </w:numPr>
        <w:spacing w:before="240" w:after="240"/>
        <w:ind w:left="284" w:hanging="284"/>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OBJETO DO PROCESSO:</w:t>
      </w:r>
    </w:p>
    <w:p w14:paraId="03CA7006">
      <w:pPr>
        <w:pStyle w:val="10"/>
        <w:spacing w:line="360" w:lineRule="auto"/>
        <w:ind w:firstLine="709"/>
        <w:jc w:val="both"/>
        <w:rPr>
          <w:color w:val="231F20"/>
          <w:sz w:val="24"/>
          <w:szCs w:val="24"/>
        </w:rPr>
      </w:pPr>
      <w:r>
        <w:rPr>
          <w:sz w:val="24"/>
          <w:szCs w:val="24"/>
        </w:rPr>
        <w:t xml:space="preserve"> Trata-se da análise do </w:t>
      </w:r>
      <w:r>
        <w:rPr>
          <w:b/>
          <w:sz w:val="24"/>
          <w:szCs w:val="24"/>
        </w:rPr>
        <w:t>Processo nº 0297/2025 - ALEMA</w:t>
      </w:r>
      <w:r>
        <w:rPr>
          <w:sz w:val="24"/>
          <w:szCs w:val="24"/>
        </w:rPr>
        <w:t xml:space="preserve">, referente ao Requerimento, subscrito pelo Senhor Leonardo Alves de Araújo, Presidente do </w:t>
      </w:r>
      <w:r>
        <w:rPr>
          <w:b/>
          <w:bCs/>
          <w:sz w:val="24"/>
          <w:szCs w:val="24"/>
        </w:rPr>
        <w:t>Partido Renovador Trabalhista Brasileiro - PRTB</w:t>
      </w:r>
      <w:r>
        <w:rPr>
          <w:sz w:val="24"/>
          <w:szCs w:val="24"/>
        </w:rPr>
        <w:t>, em que requer</w:t>
      </w:r>
      <w:r>
        <w:rPr>
          <w:color w:val="231F20"/>
          <w:sz w:val="24"/>
          <w:szCs w:val="24"/>
        </w:rPr>
        <w:t>, com fundamento nos §§ 3º e 4º do artigo 36 da Constituição do Estado, com a redação dada pela Emenda Constitucional</w:t>
      </w:r>
      <w:r>
        <w:rPr>
          <w:color w:val="231F20"/>
          <w:spacing w:val="-11"/>
          <w:sz w:val="24"/>
          <w:szCs w:val="24"/>
        </w:rPr>
        <w:t xml:space="preserve"> </w:t>
      </w:r>
      <w:r>
        <w:rPr>
          <w:color w:val="231F20"/>
          <w:sz w:val="24"/>
          <w:szCs w:val="24"/>
        </w:rPr>
        <w:t>nº</w:t>
      </w:r>
      <w:r>
        <w:rPr>
          <w:color w:val="231F20"/>
          <w:spacing w:val="-11"/>
          <w:sz w:val="24"/>
          <w:szCs w:val="24"/>
        </w:rPr>
        <w:t xml:space="preserve"> </w:t>
      </w:r>
      <w:r>
        <w:rPr>
          <w:color w:val="231F20"/>
          <w:sz w:val="24"/>
          <w:szCs w:val="24"/>
        </w:rPr>
        <w:t>39,</w:t>
      </w:r>
      <w:r>
        <w:rPr>
          <w:color w:val="231F20"/>
          <w:spacing w:val="-11"/>
          <w:sz w:val="24"/>
          <w:szCs w:val="24"/>
        </w:rPr>
        <w:t xml:space="preserve"> </w:t>
      </w:r>
      <w:r>
        <w:rPr>
          <w:color w:val="231F20"/>
          <w:sz w:val="24"/>
          <w:szCs w:val="24"/>
        </w:rPr>
        <w:t>de</w:t>
      </w:r>
      <w:r>
        <w:rPr>
          <w:color w:val="231F20"/>
          <w:spacing w:val="-11"/>
          <w:sz w:val="24"/>
          <w:szCs w:val="24"/>
        </w:rPr>
        <w:t xml:space="preserve"> </w:t>
      </w:r>
      <w:r>
        <w:rPr>
          <w:color w:val="231F20"/>
          <w:sz w:val="24"/>
          <w:szCs w:val="24"/>
        </w:rPr>
        <w:t>18</w:t>
      </w:r>
      <w:r>
        <w:rPr>
          <w:color w:val="231F20"/>
          <w:spacing w:val="-11"/>
          <w:sz w:val="24"/>
          <w:szCs w:val="24"/>
        </w:rPr>
        <w:t xml:space="preserve"> </w:t>
      </w:r>
      <w:r>
        <w:rPr>
          <w:color w:val="231F20"/>
          <w:sz w:val="24"/>
          <w:szCs w:val="24"/>
        </w:rPr>
        <w:t>de</w:t>
      </w:r>
      <w:r>
        <w:rPr>
          <w:color w:val="231F20"/>
          <w:spacing w:val="-11"/>
          <w:sz w:val="24"/>
          <w:szCs w:val="24"/>
        </w:rPr>
        <w:t xml:space="preserve"> </w:t>
      </w:r>
      <w:r>
        <w:rPr>
          <w:color w:val="231F20"/>
          <w:sz w:val="24"/>
          <w:szCs w:val="24"/>
        </w:rPr>
        <w:t>março</w:t>
      </w:r>
      <w:r>
        <w:rPr>
          <w:color w:val="231F20"/>
          <w:spacing w:val="-11"/>
          <w:sz w:val="24"/>
          <w:szCs w:val="24"/>
        </w:rPr>
        <w:t xml:space="preserve"> </w:t>
      </w:r>
      <w:r>
        <w:rPr>
          <w:color w:val="231F20"/>
          <w:sz w:val="24"/>
          <w:szCs w:val="24"/>
        </w:rPr>
        <w:t>de</w:t>
      </w:r>
      <w:r>
        <w:rPr>
          <w:color w:val="231F20"/>
          <w:spacing w:val="-11"/>
          <w:sz w:val="24"/>
          <w:szCs w:val="24"/>
        </w:rPr>
        <w:t xml:space="preserve"> </w:t>
      </w:r>
      <w:r>
        <w:rPr>
          <w:color w:val="231F20"/>
          <w:sz w:val="24"/>
          <w:szCs w:val="24"/>
        </w:rPr>
        <w:t>2003,</w:t>
      </w:r>
      <w:r>
        <w:rPr>
          <w:color w:val="231F20"/>
          <w:spacing w:val="-11"/>
          <w:sz w:val="24"/>
          <w:szCs w:val="24"/>
        </w:rPr>
        <w:t xml:space="preserve"> </w:t>
      </w:r>
      <w:r>
        <w:rPr>
          <w:color w:val="231F20"/>
          <w:sz w:val="24"/>
          <w:szCs w:val="24"/>
        </w:rPr>
        <w:t>a</w:t>
      </w:r>
      <w:r>
        <w:rPr>
          <w:color w:val="231F20"/>
          <w:spacing w:val="-11"/>
          <w:sz w:val="24"/>
          <w:szCs w:val="24"/>
        </w:rPr>
        <w:t xml:space="preserve"> </w:t>
      </w:r>
      <w:r>
        <w:rPr>
          <w:color w:val="231F20"/>
          <w:sz w:val="24"/>
          <w:szCs w:val="24"/>
        </w:rPr>
        <w:t>sustação</w:t>
      </w:r>
      <w:r>
        <w:rPr>
          <w:color w:val="231F20"/>
          <w:spacing w:val="-11"/>
          <w:sz w:val="24"/>
          <w:szCs w:val="24"/>
        </w:rPr>
        <w:t xml:space="preserve"> </w:t>
      </w:r>
      <w:r>
        <w:rPr>
          <w:color w:val="231F20"/>
          <w:sz w:val="24"/>
          <w:szCs w:val="24"/>
        </w:rPr>
        <w:t>do</w:t>
      </w:r>
      <w:r>
        <w:rPr>
          <w:color w:val="231F20"/>
          <w:spacing w:val="-11"/>
          <w:sz w:val="24"/>
          <w:szCs w:val="24"/>
        </w:rPr>
        <w:t xml:space="preserve"> </w:t>
      </w:r>
      <w:r>
        <w:rPr>
          <w:color w:val="231F20"/>
          <w:sz w:val="24"/>
          <w:szCs w:val="24"/>
        </w:rPr>
        <w:t>andamento</w:t>
      </w:r>
      <w:r>
        <w:rPr>
          <w:color w:val="231F20"/>
          <w:spacing w:val="-11"/>
          <w:sz w:val="24"/>
          <w:szCs w:val="24"/>
        </w:rPr>
        <w:t xml:space="preserve"> </w:t>
      </w:r>
      <w:r>
        <w:rPr>
          <w:color w:val="231F20"/>
          <w:sz w:val="24"/>
          <w:szCs w:val="24"/>
        </w:rPr>
        <w:t>do</w:t>
      </w:r>
      <w:r>
        <w:rPr>
          <w:color w:val="231F20"/>
          <w:spacing w:val="-11"/>
          <w:sz w:val="24"/>
          <w:szCs w:val="24"/>
        </w:rPr>
        <w:t xml:space="preserve"> </w:t>
      </w:r>
      <w:r>
        <w:rPr>
          <w:color w:val="231F20"/>
          <w:sz w:val="24"/>
          <w:szCs w:val="24"/>
        </w:rPr>
        <w:t xml:space="preserve">Ação Penal nº </w:t>
      </w:r>
      <w:r>
        <w:rPr>
          <w:sz w:val="24"/>
          <w:szCs w:val="24"/>
        </w:rPr>
        <w:t>0009042–22.2020.8.10.0001</w:t>
      </w:r>
      <w:r>
        <w:rPr>
          <w:color w:val="231F20"/>
          <w:sz w:val="24"/>
          <w:szCs w:val="24"/>
        </w:rPr>
        <w:t xml:space="preserve">, que o Sr. </w:t>
      </w:r>
      <w:r>
        <w:rPr>
          <w:sz w:val="24"/>
          <w:szCs w:val="24"/>
        </w:rPr>
        <w:t>Murilo Carvalho Pereira Guazzelli</w:t>
      </w:r>
      <w:r>
        <w:rPr>
          <w:color w:val="231F20"/>
          <w:spacing w:val="40"/>
          <w:sz w:val="24"/>
          <w:szCs w:val="24"/>
        </w:rPr>
        <w:t xml:space="preserve"> </w:t>
      </w:r>
      <w:r>
        <w:rPr>
          <w:color w:val="231F20"/>
          <w:sz w:val="24"/>
          <w:szCs w:val="24"/>
        </w:rPr>
        <w:t>move contra o Deputado Estadual Doutor Yglésio.</w:t>
      </w:r>
    </w:p>
    <w:p w14:paraId="693CB2BF">
      <w:pPr>
        <w:pStyle w:val="10"/>
        <w:spacing w:line="360" w:lineRule="auto"/>
        <w:ind w:firstLine="709"/>
        <w:jc w:val="both"/>
        <w:rPr>
          <w:sz w:val="24"/>
          <w:szCs w:val="24"/>
        </w:rPr>
      </w:pPr>
    </w:p>
    <w:p w14:paraId="0D08EEA1">
      <w:pPr>
        <w:pStyle w:val="10"/>
        <w:spacing w:line="360" w:lineRule="auto"/>
        <w:ind w:firstLine="709"/>
        <w:jc w:val="both"/>
        <w:rPr>
          <w:sz w:val="24"/>
          <w:szCs w:val="24"/>
        </w:rPr>
      </w:pPr>
      <w:r>
        <w:rPr>
          <w:color w:val="231F20"/>
          <w:sz w:val="24"/>
          <w:szCs w:val="24"/>
        </w:rPr>
        <w:t>Por</w:t>
      </w:r>
      <w:r>
        <w:rPr>
          <w:color w:val="231F20"/>
          <w:spacing w:val="17"/>
          <w:sz w:val="24"/>
          <w:szCs w:val="24"/>
        </w:rPr>
        <w:t xml:space="preserve"> </w:t>
      </w:r>
      <w:r>
        <w:rPr>
          <w:color w:val="231F20"/>
          <w:sz w:val="24"/>
          <w:szCs w:val="24"/>
        </w:rPr>
        <w:t>força</w:t>
      </w:r>
      <w:r>
        <w:rPr>
          <w:color w:val="231F20"/>
          <w:spacing w:val="17"/>
          <w:sz w:val="24"/>
          <w:szCs w:val="24"/>
        </w:rPr>
        <w:t xml:space="preserve"> </w:t>
      </w:r>
      <w:r>
        <w:rPr>
          <w:color w:val="231F20"/>
          <w:sz w:val="24"/>
          <w:szCs w:val="24"/>
        </w:rPr>
        <w:t>do</w:t>
      </w:r>
      <w:r>
        <w:rPr>
          <w:color w:val="231F20"/>
          <w:spacing w:val="18"/>
          <w:sz w:val="24"/>
          <w:szCs w:val="24"/>
        </w:rPr>
        <w:t xml:space="preserve"> </w:t>
      </w:r>
      <w:r>
        <w:rPr>
          <w:color w:val="231F20"/>
          <w:sz w:val="24"/>
          <w:szCs w:val="24"/>
        </w:rPr>
        <w:t>despacho</w:t>
      </w:r>
      <w:r>
        <w:rPr>
          <w:color w:val="231F20"/>
          <w:spacing w:val="17"/>
          <w:sz w:val="24"/>
          <w:szCs w:val="24"/>
        </w:rPr>
        <w:t xml:space="preserve"> </w:t>
      </w:r>
      <w:r>
        <w:rPr>
          <w:color w:val="231F20"/>
          <w:sz w:val="24"/>
          <w:szCs w:val="24"/>
        </w:rPr>
        <w:t>de</w:t>
      </w:r>
      <w:r>
        <w:rPr>
          <w:color w:val="231F20"/>
          <w:spacing w:val="17"/>
          <w:sz w:val="24"/>
          <w:szCs w:val="24"/>
        </w:rPr>
        <w:t xml:space="preserve"> </w:t>
      </w:r>
      <w:r>
        <w:rPr>
          <w:color w:val="231F20"/>
          <w:sz w:val="24"/>
          <w:szCs w:val="24"/>
        </w:rPr>
        <w:t>fls. 04 (Processo nº 0297/2025),</w:t>
      </w:r>
      <w:r>
        <w:rPr>
          <w:color w:val="231F20"/>
          <w:spacing w:val="17"/>
          <w:sz w:val="24"/>
          <w:szCs w:val="24"/>
        </w:rPr>
        <w:t xml:space="preserve"> </w:t>
      </w:r>
      <w:r>
        <w:rPr>
          <w:color w:val="231F20"/>
          <w:sz w:val="24"/>
          <w:szCs w:val="24"/>
        </w:rPr>
        <w:t>a</w:t>
      </w:r>
      <w:r>
        <w:rPr>
          <w:color w:val="231F20"/>
          <w:spacing w:val="18"/>
          <w:sz w:val="24"/>
          <w:szCs w:val="24"/>
        </w:rPr>
        <w:t xml:space="preserve"> </w:t>
      </w:r>
      <w:r>
        <w:rPr>
          <w:color w:val="231F20"/>
          <w:sz w:val="24"/>
          <w:szCs w:val="24"/>
        </w:rPr>
        <w:t>Sra.</w:t>
      </w:r>
      <w:r>
        <w:rPr>
          <w:color w:val="231F20"/>
          <w:spacing w:val="17"/>
          <w:sz w:val="24"/>
          <w:szCs w:val="24"/>
        </w:rPr>
        <w:t xml:space="preserve"> </w:t>
      </w:r>
      <w:r>
        <w:rPr>
          <w:color w:val="231F20"/>
          <w:sz w:val="24"/>
          <w:szCs w:val="24"/>
        </w:rPr>
        <w:t>Presidente</w:t>
      </w:r>
      <w:r>
        <w:rPr>
          <w:color w:val="231F20"/>
          <w:spacing w:val="17"/>
          <w:sz w:val="24"/>
          <w:szCs w:val="24"/>
        </w:rPr>
        <w:t xml:space="preserve"> </w:t>
      </w:r>
      <w:r>
        <w:rPr>
          <w:color w:val="231F20"/>
          <w:sz w:val="24"/>
          <w:szCs w:val="24"/>
        </w:rPr>
        <w:t>desta</w:t>
      </w:r>
      <w:r>
        <w:rPr>
          <w:color w:val="231F20"/>
          <w:spacing w:val="18"/>
          <w:sz w:val="24"/>
          <w:szCs w:val="24"/>
        </w:rPr>
        <w:t xml:space="preserve"> </w:t>
      </w:r>
      <w:r>
        <w:rPr>
          <w:color w:val="231F20"/>
          <w:sz w:val="24"/>
          <w:szCs w:val="24"/>
        </w:rPr>
        <w:t>Casa</w:t>
      </w:r>
      <w:r>
        <w:rPr>
          <w:color w:val="231F20"/>
          <w:spacing w:val="17"/>
          <w:sz w:val="24"/>
          <w:szCs w:val="24"/>
        </w:rPr>
        <w:t xml:space="preserve"> </w:t>
      </w:r>
      <w:r>
        <w:rPr>
          <w:color w:val="231F20"/>
          <w:spacing w:val="-2"/>
          <w:sz w:val="24"/>
          <w:szCs w:val="24"/>
        </w:rPr>
        <w:t>determinou</w:t>
      </w:r>
      <w:r>
        <w:rPr>
          <w:sz w:val="24"/>
          <w:szCs w:val="24"/>
        </w:rPr>
        <w:t xml:space="preserve"> </w:t>
      </w:r>
      <w:r>
        <w:rPr>
          <w:color w:val="231F20"/>
          <w:sz w:val="24"/>
          <w:szCs w:val="24"/>
        </w:rPr>
        <w:t xml:space="preserve">que a presente solicitação fosse, remetida a esta Comissão de Constituição, Justiça e Cidadania para apreciá-la quanto aos aspectos formais e de </w:t>
      </w:r>
      <w:r>
        <w:rPr>
          <w:color w:val="231F20"/>
          <w:spacing w:val="-2"/>
          <w:sz w:val="24"/>
          <w:szCs w:val="24"/>
        </w:rPr>
        <w:t>mérito.</w:t>
      </w:r>
    </w:p>
    <w:p w14:paraId="63A64645">
      <w:pPr>
        <w:pStyle w:val="10"/>
        <w:spacing w:line="360" w:lineRule="auto"/>
        <w:ind w:firstLine="709"/>
        <w:jc w:val="both"/>
        <w:rPr>
          <w:color w:val="231F20"/>
          <w:sz w:val="24"/>
          <w:szCs w:val="24"/>
        </w:rPr>
      </w:pPr>
    </w:p>
    <w:p w14:paraId="6B21B4C8">
      <w:pPr>
        <w:pStyle w:val="10"/>
        <w:spacing w:line="360" w:lineRule="auto"/>
        <w:ind w:firstLine="709"/>
        <w:jc w:val="both"/>
        <w:rPr>
          <w:color w:val="231F20"/>
          <w:sz w:val="24"/>
          <w:szCs w:val="24"/>
          <w:lang w:val="pt-BR"/>
        </w:rPr>
      </w:pPr>
      <w:r>
        <w:rPr>
          <w:color w:val="231F20"/>
          <w:sz w:val="24"/>
          <w:szCs w:val="24"/>
        </w:rPr>
        <w:t>Conforme</w:t>
      </w:r>
      <w:r>
        <w:rPr>
          <w:color w:val="231F20"/>
          <w:spacing w:val="-13"/>
          <w:sz w:val="24"/>
          <w:szCs w:val="24"/>
        </w:rPr>
        <w:t xml:space="preserve"> </w:t>
      </w:r>
      <w:r>
        <w:rPr>
          <w:color w:val="231F20"/>
          <w:sz w:val="24"/>
          <w:szCs w:val="24"/>
        </w:rPr>
        <w:t>comunicação</w:t>
      </w:r>
      <w:r>
        <w:rPr>
          <w:color w:val="231F20"/>
          <w:spacing w:val="-12"/>
          <w:sz w:val="24"/>
          <w:szCs w:val="24"/>
        </w:rPr>
        <w:t xml:space="preserve"> </w:t>
      </w:r>
      <w:r>
        <w:rPr>
          <w:color w:val="231F20"/>
          <w:sz w:val="24"/>
          <w:szCs w:val="24"/>
        </w:rPr>
        <w:t>dirigida</w:t>
      </w:r>
      <w:r>
        <w:rPr>
          <w:color w:val="231F20"/>
          <w:spacing w:val="-13"/>
          <w:sz w:val="24"/>
          <w:szCs w:val="24"/>
        </w:rPr>
        <w:t xml:space="preserve"> </w:t>
      </w:r>
      <w:r>
        <w:rPr>
          <w:color w:val="231F20"/>
          <w:sz w:val="24"/>
          <w:szCs w:val="24"/>
        </w:rPr>
        <w:t>à</w:t>
      </w:r>
      <w:r>
        <w:rPr>
          <w:color w:val="231F20"/>
          <w:spacing w:val="-12"/>
          <w:sz w:val="24"/>
          <w:szCs w:val="24"/>
        </w:rPr>
        <w:t xml:space="preserve"> </w:t>
      </w:r>
      <w:r>
        <w:rPr>
          <w:color w:val="231F20"/>
          <w:sz w:val="24"/>
          <w:szCs w:val="24"/>
        </w:rPr>
        <w:t>Presidência</w:t>
      </w:r>
      <w:r>
        <w:rPr>
          <w:color w:val="231F20"/>
          <w:spacing w:val="-13"/>
          <w:sz w:val="24"/>
          <w:szCs w:val="24"/>
        </w:rPr>
        <w:t xml:space="preserve"> </w:t>
      </w:r>
      <w:r>
        <w:rPr>
          <w:color w:val="231F20"/>
          <w:sz w:val="24"/>
          <w:szCs w:val="24"/>
        </w:rPr>
        <w:t>desta</w:t>
      </w:r>
      <w:r>
        <w:rPr>
          <w:color w:val="231F20"/>
          <w:spacing w:val="-12"/>
          <w:sz w:val="24"/>
          <w:szCs w:val="24"/>
        </w:rPr>
        <w:t xml:space="preserve"> </w:t>
      </w:r>
      <w:r>
        <w:rPr>
          <w:color w:val="231F20"/>
          <w:sz w:val="24"/>
          <w:szCs w:val="24"/>
        </w:rPr>
        <w:t>Casa</w:t>
      </w:r>
      <w:r>
        <w:rPr>
          <w:color w:val="231F20"/>
          <w:spacing w:val="-13"/>
          <w:sz w:val="24"/>
          <w:szCs w:val="24"/>
        </w:rPr>
        <w:t xml:space="preserve"> </w:t>
      </w:r>
      <w:r>
        <w:rPr>
          <w:color w:val="231F20"/>
          <w:sz w:val="24"/>
          <w:szCs w:val="24"/>
        </w:rPr>
        <w:t>pelo</w:t>
      </w:r>
      <w:r>
        <w:rPr>
          <w:color w:val="231F20"/>
          <w:spacing w:val="-12"/>
          <w:sz w:val="24"/>
          <w:szCs w:val="24"/>
        </w:rPr>
        <w:t xml:space="preserve"> </w:t>
      </w:r>
      <w:r>
        <w:rPr>
          <w:color w:val="231F20"/>
          <w:sz w:val="24"/>
          <w:szCs w:val="24"/>
        </w:rPr>
        <w:t>Egrégio</w:t>
      </w:r>
      <w:r>
        <w:rPr>
          <w:color w:val="231F20"/>
          <w:spacing w:val="-13"/>
          <w:sz w:val="24"/>
          <w:szCs w:val="24"/>
        </w:rPr>
        <w:t xml:space="preserve"> </w:t>
      </w:r>
      <w:r>
        <w:rPr>
          <w:color w:val="231F20"/>
          <w:sz w:val="24"/>
          <w:szCs w:val="24"/>
        </w:rPr>
        <w:t>Tribunal</w:t>
      </w:r>
      <w:r>
        <w:rPr>
          <w:color w:val="231F20"/>
          <w:spacing w:val="12"/>
          <w:sz w:val="24"/>
          <w:szCs w:val="24"/>
        </w:rPr>
        <w:t xml:space="preserve"> </w:t>
      </w:r>
      <w:r>
        <w:rPr>
          <w:color w:val="231F20"/>
          <w:sz w:val="24"/>
          <w:szCs w:val="24"/>
        </w:rPr>
        <w:t>de</w:t>
      </w:r>
      <w:r>
        <w:rPr>
          <w:color w:val="231F20"/>
          <w:spacing w:val="13"/>
          <w:sz w:val="24"/>
          <w:szCs w:val="24"/>
        </w:rPr>
        <w:t xml:space="preserve"> </w:t>
      </w:r>
      <w:r>
        <w:rPr>
          <w:color w:val="231F20"/>
          <w:sz w:val="24"/>
          <w:szCs w:val="24"/>
        </w:rPr>
        <w:t>Justiça</w:t>
      </w:r>
      <w:r>
        <w:rPr>
          <w:color w:val="231F20"/>
          <w:spacing w:val="12"/>
          <w:sz w:val="24"/>
          <w:szCs w:val="24"/>
        </w:rPr>
        <w:t xml:space="preserve"> </w:t>
      </w:r>
      <w:r>
        <w:rPr>
          <w:color w:val="231F20"/>
          <w:sz w:val="24"/>
          <w:szCs w:val="24"/>
        </w:rPr>
        <w:t>do</w:t>
      </w:r>
      <w:r>
        <w:rPr>
          <w:color w:val="231F20"/>
          <w:spacing w:val="13"/>
          <w:sz w:val="24"/>
          <w:szCs w:val="24"/>
        </w:rPr>
        <w:t xml:space="preserve"> </w:t>
      </w:r>
      <w:r>
        <w:rPr>
          <w:color w:val="231F20"/>
          <w:sz w:val="24"/>
          <w:szCs w:val="24"/>
        </w:rPr>
        <w:t>Estado</w:t>
      </w:r>
      <w:r>
        <w:rPr>
          <w:color w:val="231F20"/>
          <w:spacing w:val="13"/>
          <w:sz w:val="24"/>
          <w:szCs w:val="24"/>
        </w:rPr>
        <w:t xml:space="preserve"> </w:t>
      </w:r>
      <w:r>
        <w:rPr>
          <w:color w:val="231F20"/>
          <w:sz w:val="24"/>
          <w:szCs w:val="24"/>
        </w:rPr>
        <w:t>do</w:t>
      </w:r>
      <w:r>
        <w:rPr>
          <w:color w:val="231F20"/>
          <w:spacing w:val="12"/>
          <w:sz w:val="24"/>
          <w:szCs w:val="24"/>
        </w:rPr>
        <w:t xml:space="preserve"> </w:t>
      </w:r>
      <w:r>
        <w:rPr>
          <w:color w:val="231F20"/>
          <w:sz w:val="24"/>
          <w:szCs w:val="24"/>
        </w:rPr>
        <w:t>Maranhão,</w:t>
      </w:r>
      <w:r>
        <w:rPr>
          <w:color w:val="231F20"/>
          <w:spacing w:val="13"/>
          <w:sz w:val="24"/>
          <w:szCs w:val="24"/>
        </w:rPr>
        <w:t xml:space="preserve"> </w:t>
      </w:r>
      <w:r>
        <w:rPr>
          <w:color w:val="231F20"/>
          <w:sz w:val="24"/>
          <w:szCs w:val="24"/>
        </w:rPr>
        <w:t>através</w:t>
      </w:r>
      <w:r>
        <w:rPr>
          <w:color w:val="231F20"/>
          <w:spacing w:val="12"/>
          <w:sz w:val="24"/>
          <w:szCs w:val="24"/>
        </w:rPr>
        <w:t xml:space="preserve"> </w:t>
      </w:r>
      <w:r>
        <w:rPr>
          <w:color w:val="231F20"/>
          <w:sz w:val="24"/>
          <w:szCs w:val="24"/>
        </w:rPr>
        <w:t>de</w:t>
      </w:r>
      <w:r>
        <w:rPr>
          <w:color w:val="231F20"/>
          <w:spacing w:val="13"/>
          <w:sz w:val="24"/>
          <w:szCs w:val="24"/>
        </w:rPr>
        <w:t xml:space="preserve"> </w:t>
      </w:r>
      <w:r>
        <w:rPr>
          <w:color w:val="231F20"/>
          <w:sz w:val="24"/>
          <w:szCs w:val="24"/>
        </w:rPr>
        <w:t>Ofício n° 10/2024-SP</w:t>
      </w:r>
      <w:r>
        <w:rPr>
          <w:color w:val="231F20"/>
          <w:spacing w:val="12"/>
          <w:sz w:val="24"/>
          <w:szCs w:val="24"/>
        </w:rPr>
        <w:t xml:space="preserve"> </w:t>
      </w:r>
      <w:r>
        <w:rPr>
          <w:b/>
          <w:bCs/>
          <w:color w:val="231F20"/>
          <w:sz w:val="24"/>
          <w:szCs w:val="24"/>
        </w:rPr>
        <w:t>datado</w:t>
      </w:r>
      <w:r>
        <w:rPr>
          <w:b/>
          <w:bCs/>
          <w:color w:val="231F20"/>
          <w:spacing w:val="13"/>
          <w:sz w:val="24"/>
          <w:szCs w:val="24"/>
        </w:rPr>
        <w:t xml:space="preserve"> </w:t>
      </w:r>
      <w:r>
        <w:rPr>
          <w:b/>
          <w:bCs/>
          <w:color w:val="231F20"/>
          <w:sz w:val="24"/>
          <w:szCs w:val="24"/>
        </w:rPr>
        <w:t>de 10 de janeiro de 2024,</w:t>
      </w:r>
      <w:r>
        <w:rPr>
          <w:b/>
          <w:bCs/>
          <w:color w:val="231F20"/>
          <w:spacing w:val="13"/>
          <w:sz w:val="24"/>
          <w:szCs w:val="24"/>
        </w:rPr>
        <w:t xml:space="preserve"> </w:t>
      </w:r>
      <w:r>
        <w:rPr>
          <w:b/>
          <w:bCs/>
          <w:color w:val="231F20"/>
          <w:spacing w:val="-2"/>
          <w:sz w:val="24"/>
          <w:szCs w:val="24"/>
        </w:rPr>
        <w:t>aquele</w:t>
      </w:r>
      <w:r>
        <w:rPr>
          <w:b/>
          <w:bCs/>
          <w:sz w:val="24"/>
          <w:szCs w:val="24"/>
        </w:rPr>
        <w:t xml:space="preserve"> </w:t>
      </w:r>
      <w:r>
        <w:rPr>
          <w:b/>
          <w:bCs/>
          <w:color w:val="231F20"/>
          <w:sz w:val="24"/>
          <w:szCs w:val="24"/>
        </w:rPr>
        <w:t>E.</w:t>
      </w:r>
      <w:r>
        <w:rPr>
          <w:b/>
          <w:bCs/>
          <w:color w:val="231F20"/>
          <w:spacing w:val="-2"/>
          <w:sz w:val="24"/>
          <w:szCs w:val="24"/>
        </w:rPr>
        <w:t xml:space="preserve"> </w:t>
      </w:r>
      <w:r>
        <w:rPr>
          <w:b/>
          <w:bCs/>
          <w:color w:val="231F20"/>
          <w:sz w:val="24"/>
          <w:szCs w:val="24"/>
        </w:rPr>
        <w:t>Tribunal</w:t>
      </w:r>
      <w:r>
        <w:rPr>
          <w:b/>
          <w:bCs/>
          <w:color w:val="231F20"/>
          <w:spacing w:val="4"/>
          <w:sz w:val="24"/>
          <w:szCs w:val="24"/>
        </w:rPr>
        <w:t xml:space="preserve"> </w:t>
      </w:r>
      <w:r>
        <w:rPr>
          <w:b/>
          <w:bCs/>
          <w:color w:val="231F20"/>
          <w:sz w:val="24"/>
          <w:szCs w:val="24"/>
        </w:rPr>
        <w:t>recebeu,</w:t>
      </w:r>
      <w:r>
        <w:rPr>
          <w:b/>
          <w:bCs/>
          <w:color w:val="231F20"/>
          <w:spacing w:val="5"/>
          <w:sz w:val="24"/>
          <w:szCs w:val="24"/>
        </w:rPr>
        <w:t xml:space="preserve"> </w:t>
      </w:r>
      <w:r>
        <w:rPr>
          <w:b/>
          <w:bCs/>
          <w:color w:val="231F20"/>
          <w:sz w:val="24"/>
          <w:szCs w:val="24"/>
        </w:rPr>
        <w:t>em</w:t>
      </w:r>
      <w:r>
        <w:rPr>
          <w:b/>
          <w:bCs/>
          <w:color w:val="231F20"/>
          <w:spacing w:val="4"/>
          <w:sz w:val="24"/>
          <w:szCs w:val="24"/>
        </w:rPr>
        <w:t xml:space="preserve"> </w:t>
      </w:r>
      <w:r>
        <w:rPr>
          <w:b/>
          <w:bCs/>
          <w:color w:val="231F20"/>
          <w:sz w:val="24"/>
          <w:szCs w:val="24"/>
        </w:rPr>
        <w:t>31 de maio de 2023,</w:t>
      </w:r>
      <w:r>
        <w:rPr>
          <w:b/>
          <w:bCs/>
          <w:color w:val="231F20"/>
          <w:spacing w:val="4"/>
          <w:sz w:val="24"/>
          <w:szCs w:val="24"/>
        </w:rPr>
        <w:t xml:space="preserve"> </w:t>
      </w:r>
      <w:r>
        <w:rPr>
          <w:b/>
          <w:bCs/>
          <w:color w:val="231F20"/>
          <w:sz w:val="24"/>
          <w:szCs w:val="24"/>
        </w:rPr>
        <w:t>por</w:t>
      </w:r>
      <w:r>
        <w:rPr>
          <w:b/>
          <w:bCs/>
          <w:color w:val="231F20"/>
          <w:spacing w:val="5"/>
          <w:sz w:val="24"/>
          <w:szCs w:val="24"/>
        </w:rPr>
        <w:t xml:space="preserve"> </w:t>
      </w:r>
      <w:r>
        <w:rPr>
          <w:b/>
          <w:bCs/>
          <w:color w:val="231F20"/>
          <w:sz w:val="24"/>
          <w:szCs w:val="24"/>
        </w:rPr>
        <w:t>meio</w:t>
      </w:r>
      <w:r>
        <w:rPr>
          <w:b/>
          <w:bCs/>
          <w:color w:val="231F20"/>
          <w:spacing w:val="3"/>
          <w:sz w:val="24"/>
          <w:szCs w:val="24"/>
        </w:rPr>
        <w:t xml:space="preserve"> </w:t>
      </w:r>
      <w:r>
        <w:rPr>
          <w:b/>
          <w:bCs/>
          <w:color w:val="231F20"/>
          <w:sz w:val="24"/>
          <w:szCs w:val="24"/>
        </w:rPr>
        <w:t>do</w:t>
      </w:r>
      <w:r>
        <w:rPr>
          <w:b/>
          <w:bCs/>
          <w:color w:val="231F20"/>
          <w:spacing w:val="-6"/>
          <w:sz w:val="24"/>
          <w:szCs w:val="24"/>
        </w:rPr>
        <w:t xml:space="preserve"> </w:t>
      </w:r>
      <w:r>
        <w:rPr>
          <w:b/>
          <w:bCs/>
          <w:color w:val="231F20"/>
          <w:sz w:val="24"/>
          <w:szCs w:val="24"/>
        </w:rPr>
        <w:t>Acórdão</w:t>
      </w:r>
      <w:r>
        <w:rPr>
          <w:b/>
          <w:bCs/>
          <w:color w:val="231F20"/>
          <w:spacing w:val="4"/>
          <w:sz w:val="24"/>
          <w:szCs w:val="24"/>
        </w:rPr>
        <w:t xml:space="preserve"> </w:t>
      </w:r>
      <w:r>
        <w:rPr>
          <w:b/>
          <w:bCs/>
          <w:color w:val="231F20"/>
          <w:sz w:val="24"/>
          <w:szCs w:val="24"/>
        </w:rPr>
        <w:t>ID 26252335,</w:t>
      </w:r>
      <w:r>
        <w:rPr>
          <w:b/>
          <w:bCs/>
          <w:color w:val="231F20"/>
          <w:spacing w:val="4"/>
          <w:sz w:val="24"/>
          <w:szCs w:val="24"/>
        </w:rPr>
        <w:t xml:space="preserve"> </w:t>
      </w:r>
      <w:r>
        <w:rPr>
          <w:b/>
          <w:bCs/>
          <w:color w:val="231F20"/>
          <w:sz w:val="24"/>
          <w:szCs w:val="24"/>
        </w:rPr>
        <w:t>a</w:t>
      </w:r>
      <w:r>
        <w:rPr>
          <w:b/>
          <w:bCs/>
          <w:color w:val="231F20"/>
          <w:spacing w:val="5"/>
          <w:sz w:val="24"/>
          <w:szCs w:val="24"/>
        </w:rPr>
        <w:t xml:space="preserve"> </w:t>
      </w:r>
      <w:r>
        <w:rPr>
          <w:b/>
          <w:bCs/>
          <w:color w:val="231F20"/>
          <w:spacing w:val="-2"/>
          <w:sz w:val="24"/>
          <w:szCs w:val="24"/>
        </w:rPr>
        <w:t>Queixa-</w:t>
      </w:r>
      <w:r>
        <w:rPr>
          <w:b/>
          <w:bCs/>
          <w:color w:val="231F20"/>
          <w:sz w:val="24"/>
          <w:szCs w:val="24"/>
        </w:rPr>
        <w:t xml:space="preserve">Crime </w:t>
      </w:r>
      <w:r>
        <w:rPr>
          <w:b/>
          <w:bCs/>
          <w:color w:val="231F20"/>
          <w:sz w:val="24"/>
          <w:szCs w:val="24"/>
          <w:lang w:val="pt-BR"/>
        </w:rPr>
        <w:t>em relação aos supostos crimes de calúnia e difamação</w:t>
      </w:r>
      <w:r>
        <w:rPr>
          <w:color w:val="231F20"/>
          <w:sz w:val="24"/>
          <w:szCs w:val="24"/>
          <w:lang w:val="pt-BR"/>
        </w:rPr>
        <w:t xml:space="preserve"> (arts.138 e 139 do Código Penal),</w:t>
      </w:r>
      <w:r>
        <w:rPr>
          <w:color w:val="231F20"/>
          <w:spacing w:val="-2"/>
          <w:sz w:val="24"/>
          <w:szCs w:val="24"/>
        </w:rPr>
        <w:t xml:space="preserve"> </w:t>
      </w:r>
      <w:r>
        <w:rPr>
          <w:color w:val="231F20"/>
          <w:sz w:val="24"/>
          <w:szCs w:val="24"/>
        </w:rPr>
        <w:t>ofertada</w:t>
      </w:r>
      <w:r>
        <w:rPr>
          <w:color w:val="231F20"/>
          <w:spacing w:val="-1"/>
          <w:sz w:val="24"/>
          <w:szCs w:val="24"/>
        </w:rPr>
        <w:t xml:space="preserve"> </w:t>
      </w:r>
      <w:r>
        <w:rPr>
          <w:color w:val="231F20"/>
          <w:sz w:val="24"/>
          <w:szCs w:val="24"/>
        </w:rPr>
        <w:t>pelo</w:t>
      </w:r>
      <w:r>
        <w:rPr>
          <w:color w:val="231F20"/>
          <w:spacing w:val="-1"/>
          <w:sz w:val="24"/>
          <w:szCs w:val="24"/>
        </w:rPr>
        <w:t xml:space="preserve"> </w:t>
      </w:r>
      <w:r>
        <w:rPr>
          <w:color w:val="231F20"/>
          <w:sz w:val="24"/>
          <w:szCs w:val="24"/>
        </w:rPr>
        <w:t>Sr.</w:t>
      </w:r>
      <w:r>
        <w:rPr>
          <w:color w:val="231F20"/>
          <w:spacing w:val="-1"/>
          <w:sz w:val="24"/>
          <w:szCs w:val="24"/>
        </w:rPr>
        <w:t xml:space="preserve"> </w:t>
      </w:r>
      <w:r>
        <w:rPr>
          <w:sz w:val="24"/>
          <w:szCs w:val="24"/>
        </w:rPr>
        <w:t>Murilo Guazzelli</w:t>
      </w:r>
      <w:r>
        <w:rPr>
          <w:color w:val="231F20"/>
          <w:sz w:val="24"/>
          <w:szCs w:val="24"/>
        </w:rPr>
        <w:t xml:space="preserve"> em</w:t>
      </w:r>
      <w:r>
        <w:rPr>
          <w:color w:val="231F20"/>
          <w:spacing w:val="-1"/>
          <w:sz w:val="24"/>
          <w:szCs w:val="24"/>
        </w:rPr>
        <w:t xml:space="preserve"> </w:t>
      </w:r>
      <w:r>
        <w:rPr>
          <w:color w:val="231F20"/>
          <w:sz w:val="24"/>
          <w:szCs w:val="24"/>
        </w:rPr>
        <w:t>face</w:t>
      </w:r>
      <w:r>
        <w:rPr>
          <w:color w:val="231F20"/>
          <w:spacing w:val="-1"/>
          <w:sz w:val="24"/>
          <w:szCs w:val="24"/>
        </w:rPr>
        <w:t xml:space="preserve"> </w:t>
      </w:r>
      <w:r>
        <w:rPr>
          <w:color w:val="231F20"/>
          <w:sz w:val="24"/>
          <w:szCs w:val="24"/>
        </w:rPr>
        <w:t>do Deputado Estadual</w:t>
      </w:r>
      <w:r>
        <w:rPr>
          <w:color w:val="231F20"/>
          <w:spacing w:val="-1"/>
          <w:sz w:val="24"/>
          <w:szCs w:val="24"/>
        </w:rPr>
        <w:t xml:space="preserve"> </w:t>
      </w:r>
      <w:r>
        <w:rPr>
          <w:color w:val="231F20"/>
          <w:sz w:val="24"/>
          <w:szCs w:val="24"/>
        </w:rPr>
        <w:t>Dr. Yglésio</w:t>
      </w:r>
      <w:r>
        <w:rPr>
          <w:color w:val="231F20"/>
          <w:spacing w:val="-10"/>
          <w:sz w:val="24"/>
          <w:szCs w:val="24"/>
        </w:rPr>
        <w:t xml:space="preserve">, os quais, supostamente, teriam sido perpetrados por meio de redes sociais do acusado, a partir de </w:t>
      </w:r>
      <w:r>
        <w:rPr>
          <w:color w:val="231F20"/>
          <w:sz w:val="24"/>
          <w:szCs w:val="24"/>
          <w:lang w:val="pt-BR"/>
        </w:rPr>
        <w:t>publicações contra a honra do querelante que, na qualidade de Defensor Público, participou da eleição para o cargo de Defensor Público-Geral do Estado.</w:t>
      </w:r>
    </w:p>
    <w:p w14:paraId="248CE5E9">
      <w:pPr>
        <w:pStyle w:val="10"/>
        <w:spacing w:line="360" w:lineRule="auto"/>
        <w:ind w:firstLine="709"/>
        <w:jc w:val="both"/>
        <w:rPr>
          <w:color w:val="231F20"/>
          <w:sz w:val="24"/>
          <w:szCs w:val="24"/>
          <w:lang w:val="pt-BR"/>
        </w:rPr>
      </w:pPr>
    </w:p>
    <w:p w14:paraId="0BC0CB12">
      <w:pPr>
        <w:pStyle w:val="10"/>
        <w:spacing w:line="360" w:lineRule="auto"/>
        <w:ind w:firstLine="709"/>
        <w:jc w:val="both"/>
        <w:rPr>
          <w:sz w:val="24"/>
          <w:szCs w:val="24"/>
        </w:rPr>
      </w:pPr>
      <w:r>
        <w:rPr>
          <w:color w:val="231F20"/>
          <w:spacing w:val="-10"/>
          <w:sz w:val="24"/>
          <w:szCs w:val="24"/>
        </w:rPr>
        <w:t xml:space="preserve">Na mesma decisão colegiada, o Tribunal, entendeu </w:t>
      </w:r>
      <w:r>
        <w:rPr>
          <w:color w:val="231F20"/>
          <w:sz w:val="24"/>
          <w:szCs w:val="24"/>
          <w:lang w:val="pt-BR"/>
        </w:rPr>
        <w:t xml:space="preserve">pela ocorrência da prescrição da pretensão punitiva estatal, declarou, </w:t>
      </w:r>
      <w:r>
        <w:rPr>
          <w:i/>
          <w:iCs/>
          <w:color w:val="231F20"/>
          <w:sz w:val="24"/>
          <w:szCs w:val="24"/>
          <w:lang w:val="pt-BR"/>
        </w:rPr>
        <w:t>ex officio</w:t>
      </w:r>
      <w:r>
        <w:rPr>
          <w:color w:val="231F20"/>
          <w:sz w:val="24"/>
          <w:szCs w:val="24"/>
          <w:lang w:val="pt-BR"/>
        </w:rPr>
        <w:t xml:space="preserve">, </w:t>
      </w:r>
      <w:r>
        <w:rPr>
          <w:b/>
          <w:bCs/>
          <w:color w:val="231F20"/>
          <w:sz w:val="24"/>
          <w:szCs w:val="24"/>
          <w:lang w:val="pt-BR"/>
        </w:rPr>
        <w:t>extinta a punibilidade do crime de injúria</w:t>
      </w:r>
      <w:r>
        <w:rPr>
          <w:color w:val="231F20"/>
          <w:sz w:val="24"/>
          <w:szCs w:val="24"/>
          <w:lang w:val="pt-BR"/>
        </w:rPr>
        <w:t xml:space="preserve"> (art.140 do Código Penal), nos termos do voto da Desembargadora Relatora. </w:t>
      </w:r>
    </w:p>
    <w:p w14:paraId="23FD9656">
      <w:pPr>
        <w:pStyle w:val="10"/>
        <w:spacing w:line="360" w:lineRule="auto"/>
        <w:ind w:firstLine="709"/>
        <w:jc w:val="both"/>
        <w:rPr>
          <w:color w:val="231F20"/>
          <w:sz w:val="24"/>
          <w:szCs w:val="24"/>
        </w:rPr>
      </w:pPr>
    </w:p>
    <w:p w14:paraId="17A3C28B">
      <w:pPr>
        <w:pStyle w:val="19"/>
        <w:numPr>
          <w:ilvl w:val="0"/>
          <w:numId w:val="1"/>
        </w:numPr>
        <w:spacing w:before="240" w:after="240"/>
        <w:ind w:left="284" w:hanging="284"/>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DA LEGITIMIDADE DO REQUERIMENTO DO PRTB:</w:t>
      </w:r>
    </w:p>
    <w:p w14:paraId="3C41B08F">
      <w:pPr>
        <w:pStyle w:val="10"/>
        <w:spacing w:line="360" w:lineRule="auto"/>
        <w:ind w:firstLine="709"/>
        <w:jc w:val="both"/>
        <w:rPr>
          <w:color w:val="231F20"/>
          <w:sz w:val="24"/>
          <w:szCs w:val="24"/>
        </w:rPr>
      </w:pPr>
      <w:r>
        <w:rPr>
          <w:color w:val="231F20"/>
          <w:sz w:val="24"/>
          <w:szCs w:val="24"/>
        </w:rPr>
        <w:t>Preliminarmente, cumpre observar que a presente solicitação encaminhada</w:t>
      </w:r>
      <w:r>
        <w:rPr>
          <w:color w:val="231F20"/>
          <w:spacing w:val="4"/>
          <w:sz w:val="24"/>
          <w:szCs w:val="24"/>
        </w:rPr>
        <w:t xml:space="preserve"> </w:t>
      </w:r>
      <w:r>
        <w:rPr>
          <w:color w:val="231F20"/>
          <w:sz w:val="24"/>
          <w:szCs w:val="24"/>
        </w:rPr>
        <w:t>pelo</w:t>
      </w:r>
      <w:r>
        <w:rPr>
          <w:color w:val="231F20"/>
          <w:spacing w:val="5"/>
          <w:sz w:val="24"/>
          <w:szCs w:val="24"/>
        </w:rPr>
        <w:t xml:space="preserve"> </w:t>
      </w:r>
      <w:r>
        <w:rPr>
          <w:color w:val="231F20"/>
          <w:sz w:val="24"/>
          <w:szCs w:val="24"/>
        </w:rPr>
        <w:t>Presidente Nacional do</w:t>
      </w:r>
      <w:r>
        <w:rPr>
          <w:color w:val="231F20"/>
          <w:spacing w:val="5"/>
          <w:sz w:val="24"/>
          <w:szCs w:val="24"/>
        </w:rPr>
        <w:t xml:space="preserve"> </w:t>
      </w:r>
      <w:r>
        <w:rPr>
          <w:color w:val="231F20"/>
          <w:sz w:val="24"/>
          <w:szCs w:val="24"/>
        </w:rPr>
        <w:t>PRTB</w:t>
      </w:r>
      <w:r>
        <w:rPr>
          <w:color w:val="231F20"/>
          <w:spacing w:val="79"/>
          <w:sz w:val="24"/>
          <w:szCs w:val="24"/>
        </w:rPr>
        <w:t xml:space="preserve"> </w:t>
      </w:r>
      <w:r>
        <w:rPr>
          <w:color w:val="231F20"/>
          <w:sz w:val="24"/>
          <w:szCs w:val="24"/>
        </w:rPr>
        <w:t>atende</w:t>
      </w:r>
      <w:r>
        <w:rPr>
          <w:color w:val="231F20"/>
          <w:spacing w:val="5"/>
          <w:sz w:val="24"/>
          <w:szCs w:val="24"/>
        </w:rPr>
        <w:t xml:space="preserve"> </w:t>
      </w:r>
      <w:r>
        <w:rPr>
          <w:color w:val="231F20"/>
          <w:sz w:val="24"/>
          <w:szCs w:val="24"/>
        </w:rPr>
        <w:t>aos</w:t>
      </w:r>
      <w:r>
        <w:rPr>
          <w:color w:val="231F20"/>
          <w:spacing w:val="5"/>
          <w:sz w:val="24"/>
          <w:szCs w:val="24"/>
        </w:rPr>
        <w:t xml:space="preserve"> </w:t>
      </w:r>
      <w:r>
        <w:rPr>
          <w:color w:val="231F20"/>
          <w:sz w:val="24"/>
          <w:szCs w:val="24"/>
        </w:rPr>
        <w:t>aspectos</w:t>
      </w:r>
      <w:r>
        <w:rPr>
          <w:color w:val="231F20"/>
          <w:spacing w:val="5"/>
          <w:sz w:val="24"/>
          <w:szCs w:val="24"/>
        </w:rPr>
        <w:t xml:space="preserve"> </w:t>
      </w:r>
      <w:r>
        <w:rPr>
          <w:color w:val="231F20"/>
          <w:sz w:val="24"/>
          <w:szCs w:val="24"/>
        </w:rPr>
        <w:t>previstos</w:t>
      </w:r>
      <w:r>
        <w:rPr>
          <w:color w:val="231F20"/>
          <w:spacing w:val="5"/>
          <w:sz w:val="24"/>
          <w:szCs w:val="24"/>
        </w:rPr>
        <w:t xml:space="preserve"> </w:t>
      </w:r>
      <w:r>
        <w:rPr>
          <w:color w:val="231F20"/>
          <w:sz w:val="24"/>
          <w:szCs w:val="24"/>
        </w:rPr>
        <w:t>no</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3º</w:t>
      </w:r>
      <w:r>
        <w:rPr>
          <w:color w:val="231F20"/>
          <w:spacing w:val="5"/>
          <w:sz w:val="24"/>
          <w:szCs w:val="24"/>
        </w:rPr>
        <w:t xml:space="preserve"> </w:t>
      </w:r>
      <w:r>
        <w:rPr>
          <w:color w:val="231F20"/>
          <w:spacing w:val="-5"/>
          <w:sz w:val="24"/>
          <w:szCs w:val="24"/>
        </w:rPr>
        <w:t>do</w:t>
      </w:r>
      <w:r>
        <w:rPr>
          <w:sz w:val="24"/>
          <w:szCs w:val="24"/>
        </w:rPr>
        <w:t xml:space="preserve"> </w:t>
      </w:r>
      <w:r>
        <w:rPr>
          <w:color w:val="231F20"/>
          <w:sz w:val="24"/>
          <w:szCs w:val="24"/>
        </w:rPr>
        <w:t xml:space="preserve">artigo 36 da Constituição Estadual, com a redação que lhe foi dada pela Emenda Constitucional nº 18, de 2003, </w:t>
      </w:r>
      <w:r>
        <w:rPr>
          <w:i/>
          <w:color w:val="231F20"/>
          <w:sz w:val="24"/>
          <w:szCs w:val="24"/>
        </w:rPr>
        <w:t>in verbis</w:t>
      </w:r>
      <w:r>
        <w:rPr>
          <w:color w:val="231F20"/>
          <w:sz w:val="24"/>
          <w:szCs w:val="24"/>
        </w:rPr>
        <w:t>:</w:t>
      </w:r>
    </w:p>
    <w:p w14:paraId="3F1F364A">
      <w:pPr>
        <w:pStyle w:val="10"/>
        <w:ind w:left="1560" w:firstLine="708"/>
        <w:jc w:val="both"/>
      </w:pPr>
      <w:r>
        <w:rPr>
          <w:b/>
          <w:bCs/>
          <w:color w:val="231F20"/>
        </w:rPr>
        <w:t>Artigo 36</w:t>
      </w:r>
      <w:r>
        <w:rPr>
          <w:color w:val="231F20"/>
        </w:rPr>
        <w:t xml:space="preserve"> – (...</w:t>
      </w:r>
      <w:r>
        <w:rPr>
          <w:color w:val="231F20"/>
          <w:spacing w:val="-10"/>
        </w:rPr>
        <w:t>)</w:t>
      </w:r>
    </w:p>
    <w:p w14:paraId="2B7294A5">
      <w:pPr>
        <w:pStyle w:val="10"/>
        <w:ind w:left="2268"/>
        <w:jc w:val="both"/>
        <w:rPr>
          <w:color w:val="231F20"/>
          <w:lang w:val="pt-BR"/>
        </w:rPr>
      </w:pPr>
      <w:r>
        <w:rPr>
          <w:b/>
          <w:bCs/>
          <w:color w:val="231F20"/>
        </w:rPr>
        <w:t>§ 3º</w:t>
      </w:r>
      <w:r>
        <w:rPr>
          <w:color w:val="231F20"/>
        </w:rPr>
        <w:t xml:space="preserve"> - </w:t>
      </w:r>
      <w:r>
        <w:rPr>
          <w:b/>
          <w:bCs/>
          <w:color w:val="231F20"/>
          <w:u w:val="single"/>
          <w:lang w:val="pt-BR"/>
        </w:rPr>
        <w:t>Recebida a denúncia</w:t>
      </w:r>
      <w:r>
        <w:rPr>
          <w:color w:val="231F20"/>
          <w:lang w:val="pt-BR"/>
        </w:rPr>
        <w:t xml:space="preserve"> contra Deputado, por crime ocorrido após a diplomação, o </w:t>
      </w:r>
      <w:r>
        <w:rPr>
          <w:b/>
          <w:bCs/>
          <w:color w:val="231F20"/>
          <w:lang w:val="pt-BR"/>
        </w:rPr>
        <w:t>Tribunal de Justiça</w:t>
      </w:r>
      <w:r>
        <w:rPr>
          <w:color w:val="231F20"/>
          <w:lang w:val="pt-BR"/>
        </w:rPr>
        <w:t xml:space="preserve"> do Estado </w:t>
      </w:r>
      <w:r>
        <w:rPr>
          <w:b/>
          <w:bCs/>
          <w:color w:val="231F20"/>
          <w:lang w:val="pt-BR"/>
        </w:rPr>
        <w:t>dará ciência à Assembleia Legislativa</w:t>
      </w:r>
      <w:r>
        <w:rPr>
          <w:color w:val="231F20"/>
          <w:lang w:val="pt-BR"/>
        </w:rPr>
        <w:t xml:space="preserve">, que, por </w:t>
      </w:r>
      <w:r>
        <w:rPr>
          <w:b/>
          <w:bCs/>
          <w:color w:val="231F20"/>
          <w:lang w:val="pt-BR"/>
        </w:rPr>
        <w:t>iniciativa de partido político</w:t>
      </w:r>
      <w:r>
        <w:rPr>
          <w:color w:val="231F20"/>
          <w:lang w:val="pt-BR"/>
        </w:rPr>
        <w:t xml:space="preserve"> nela representado e pelo </w:t>
      </w:r>
      <w:r>
        <w:rPr>
          <w:b/>
          <w:bCs/>
          <w:color w:val="231F20"/>
          <w:lang w:val="pt-BR"/>
        </w:rPr>
        <w:t>voto da maioria absoluta</w:t>
      </w:r>
      <w:r>
        <w:rPr>
          <w:color w:val="231F20"/>
          <w:lang w:val="pt-BR"/>
        </w:rPr>
        <w:t xml:space="preserve"> de seus membros, poderá, até a decisão final, </w:t>
      </w:r>
      <w:r>
        <w:rPr>
          <w:b/>
          <w:bCs/>
          <w:color w:val="231F20"/>
          <w:u w:val="single"/>
          <w:lang w:val="pt-BR"/>
        </w:rPr>
        <w:t>sustar o andamento da ação</w:t>
      </w:r>
      <w:r>
        <w:rPr>
          <w:color w:val="231F20"/>
          <w:lang w:val="pt-BR"/>
        </w:rPr>
        <w:t>. (Redação dada pela Emenda Constitucional n° 39, de 18 de março de 2003)</w:t>
      </w:r>
      <w:r>
        <w:rPr>
          <w:color w:val="231F20"/>
        </w:rPr>
        <w:t>.”</w:t>
      </w:r>
    </w:p>
    <w:p w14:paraId="65BD36A9">
      <w:pPr>
        <w:pStyle w:val="10"/>
        <w:spacing w:line="360" w:lineRule="auto"/>
        <w:jc w:val="both"/>
        <w:rPr>
          <w:sz w:val="24"/>
          <w:szCs w:val="24"/>
        </w:rPr>
      </w:pPr>
    </w:p>
    <w:p w14:paraId="2684569B">
      <w:pPr>
        <w:pStyle w:val="10"/>
        <w:spacing w:line="360" w:lineRule="auto"/>
        <w:ind w:firstLine="709"/>
        <w:jc w:val="both"/>
        <w:rPr>
          <w:color w:val="231F20"/>
          <w:sz w:val="24"/>
          <w:szCs w:val="24"/>
        </w:rPr>
      </w:pPr>
      <w:r>
        <w:rPr>
          <w:color w:val="231F20"/>
          <w:sz w:val="24"/>
          <w:szCs w:val="24"/>
        </w:rPr>
        <w:t>Deste modo,</w:t>
      </w:r>
      <w:r>
        <w:rPr>
          <w:color w:val="231F20"/>
          <w:spacing w:val="21"/>
          <w:sz w:val="24"/>
          <w:szCs w:val="24"/>
        </w:rPr>
        <w:t xml:space="preserve"> </w:t>
      </w:r>
      <w:r>
        <w:rPr>
          <w:color w:val="231F20"/>
          <w:sz w:val="24"/>
          <w:szCs w:val="24"/>
        </w:rPr>
        <w:t>em razão de possuir</w:t>
      </w:r>
      <w:r>
        <w:rPr>
          <w:color w:val="231F20"/>
          <w:spacing w:val="21"/>
          <w:sz w:val="24"/>
          <w:szCs w:val="24"/>
        </w:rPr>
        <w:t xml:space="preserve"> </w:t>
      </w:r>
      <w:r>
        <w:rPr>
          <w:color w:val="231F20"/>
          <w:sz w:val="24"/>
          <w:szCs w:val="24"/>
        </w:rPr>
        <w:t>representação</w:t>
      </w:r>
      <w:r>
        <w:rPr>
          <w:color w:val="231F20"/>
          <w:spacing w:val="21"/>
          <w:sz w:val="24"/>
          <w:szCs w:val="24"/>
        </w:rPr>
        <w:t xml:space="preserve"> </w:t>
      </w:r>
      <w:r>
        <w:rPr>
          <w:color w:val="231F20"/>
          <w:sz w:val="24"/>
          <w:szCs w:val="24"/>
        </w:rPr>
        <w:t>nesta</w:t>
      </w:r>
      <w:r>
        <w:rPr>
          <w:color w:val="231F20"/>
          <w:spacing w:val="21"/>
          <w:sz w:val="24"/>
          <w:szCs w:val="24"/>
        </w:rPr>
        <w:t xml:space="preserve"> </w:t>
      </w:r>
      <w:r>
        <w:rPr>
          <w:color w:val="231F20"/>
          <w:sz w:val="24"/>
          <w:szCs w:val="24"/>
        </w:rPr>
        <w:t>Casa,</w:t>
      </w:r>
      <w:r>
        <w:rPr>
          <w:color w:val="231F20"/>
          <w:spacing w:val="21"/>
          <w:sz w:val="24"/>
          <w:szCs w:val="24"/>
        </w:rPr>
        <w:t xml:space="preserve"> </w:t>
      </w:r>
      <w:r>
        <w:rPr>
          <w:color w:val="231F20"/>
          <w:sz w:val="24"/>
          <w:szCs w:val="24"/>
        </w:rPr>
        <w:t>o</w:t>
      </w:r>
      <w:r>
        <w:rPr>
          <w:color w:val="231F20"/>
          <w:spacing w:val="21"/>
          <w:sz w:val="24"/>
          <w:szCs w:val="24"/>
        </w:rPr>
        <w:t xml:space="preserve"> </w:t>
      </w:r>
      <w:r>
        <w:rPr>
          <w:sz w:val="24"/>
          <w:szCs w:val="24"/>
        </w:rPr>
        <w:t>PRTB</w:t>
      </w:r>
      <w:r>
        <w:rPr>
          <w:b/>
          <w:bCs/>
          <w:color w:val="231F20"/>
          <w:spacing w:val="21"/>
          <w:sz w:val="24"/>
          <w:szCs w:val="24"/>
        </w:rPr>
        <w:t xml:space="preserve"> </w:t>
      </w:r>
      <w:r>
        <w:rPr>
          <w:color w:val="231F20"/>
          <w:sz w:val="24"/>
          <w:szCs w:val="24"/>
        </w:rPr>
        <w:t>atende</w:t>
      </w:r>
      <w:r>
        <w:rPr>
          <w:color w:val="231F20"/>
          <w:spacing w:val="21"/>
          <w:sz w:val="24"/>
          <w:szCs w:val="24"/>
        </w:rPr>
        <w:t xml:space="preserve"> </w:t>
      </w:r>
      <w:r>
        <w:rPr>
          <w:color w:val="231F20"/>
          <w:spacing w:val="-5"/>
          <w:sz w:val="24"/>
          <w:szCs w:val="24"/>
        </w:rPr>
        <w:t>ao</w:t>
      </w:r>
      <w:r>
        <w:rPr>
          <w:sz w:val="24"/>
          <w:szCs w:val="24"/>
        </w:rPr>
        <w:t xml:space="preserve"> </w:t>
      </w:r>
      <w:r>
        <w:rPr>
          <w:color w:val="231F20"/>
          <w:sz w:val="24"/>
          <w:szCs w:val="24"/>
        </w:rPr>
        <w:t>disposto</w:t>
      </w:r>
      <w:r>
        <w:rPr>
          <w:color w:val="231F20"/>
          <w:spacing w:val="-4"/>
          <w:sz w:val="24"/>
          <w:szCs w:val="24"/>
        </w:rPr>
        <w:t xml:space="preserve"> </w:t>
      </w:r>
      <w:r>
        <w:rPr>
          <w:color w:val="231F20"/>
          <w:sz w:val="24"/>
          <w:szCs w:val="24"/>
        </w:rPr>
        <w:t>acima,</w:t>
      </w:r>
      <w:r>
        <w:rPr>
          <w:color w:val="231F20"/>
          <w:spacing w:val="-4"/>
          <w:sz w:val="24"/>
          <w:szCs w:val="24"/>
        </w:rPr>
        <w:t xml:space="preserve"> </w:t>
      </w:r>
      <w:r>
        <w:rPr>
          <w:color w:val="231F20"/>
          <w:sz w:val="24"/>
          <w:szCs w:val="24"/>
        </w:rPr>
        <w:t>fato</w:t>
      </w:r>
      <w:r>
        <w:rPr>
          <w:color w:val="231F20"/>
          <w:spacing w:val="-4"/>
          <w:sz w:val="24"/>
          <w:szCs w:val="24"/>
        </w:rPr>
        <w:t xml:space="preserve"> </w:t>
      </w:r>
      <w:r>
        <w:rPr>
          <w:color w:val="231F20"/>
          <w:sz w:val="24"/>
          <w:szCs w:val="24"/>
        </w:rPr>
        <w:t>que</w:t>
      </w:r>
      <w:r>
        <w:rPr>
          <w:color w:val="231F20"/>
          <w:spacing w:val="-4"/>
          <w:sz w:val="24"/>
          <w:szCs w:val="24"/>
        </w:rPr>
        <w:t xml:space="preserve"> </w:t>
      </w:r>
      <w:r>
        <w:rPr>
          <w:color w:val="231F20"/>
          <w:sz w:val="24"/>
          <w:szCs w:val="24"/>
        </w:rPr>
        <w:t>lhe</w:t>
      </w:r>
      <w:r>
        <w:rPr>
          <w:color w:val="231F20"/>
          <w:spacing w:val="-4"/>
          <w:sz w:val="24"/>
          <w:szCs w:val="24"/>
        </w:rPr>
        <w:t xml:space="preserve"> </w:t>
      </w:r>
      <w:r>
        <w:rPr>
          <w:b/>
          <w:bCs/>
          <w:color w:val="231F20"/>
          <w:sz w:val="24"/>
          <w:szCs w:val="24"/>
        </w:rPr>
        <w:t>confere</w:t>
      </w:r>
      <w:r>
        <w:rPr>
          <w:b/>
          <w:bCs/>
          <w:color w:val="231F20"/>
          <w:spacing w:val="-4"/>
          <w:sz w:val="24"/>
          <w:szCs w:val="24"/>
        </w:rPr>
        <w:t xml:space="preserve"> </w:t>
      </w:r>
      <w:r>
        <w:rPr>
          <w:b/>
          <w:bCs/>
          <w:color w:val="231F20"/>
          <w:sz w:val="24"/>
          <w:szCs w:val="24"/>
        </w:rPr>
        <w:t>legitimidade</w:t>
      </w:r>
      <w:r>
        <w:rPr>
          <w:b/>
          <w:bCs/>
          <w:color w:val="231F20"/>
          <w:spacing w:val="-4"/>
          <w:sz w:val="24"/>
          <w:szCs w:val="24"/>
        </w:rPr>
        <w:t xml:space="preserve"> </w:t>
      </w:r>
      <w:r>
        <w:rPr>
          <w:b/>
          <w:bCs/>
          <w:color w:val="231F20"/>
          <w:sz w:val="24"/>
          <w:szCs w:val="24"/>
        </w:rPr>
        <w:t>para</w:t>
      </w:r>
      <w:r>
        <w:rPr>
          <w:b/>
          <w:bCs/>
          <w:color w:val="231F20"/>
          <w:spacing w:val="-4"/>
          <w:sz w:val="24"/>
          <w:szCs w:val="24"/>
        </w:rPr>
        <w:t xml:space="preserve"> </w:t>
      </w:r>
      <w:r>
        <w:rPr>
          <w:b/>
          <w:bCs/>
          <w:color w:val="231F20"/>
          <w:sz w:val="24"/>
          <w:szCs w:val="24"/>
        </w:rPr>
        <w:t>solicitar</w:t>
      </w:r>
      <w:r>
        <w:rPr>
          <w:b/>
          <w:bCs/>
          <w:color w:val="231F20"/>
          <w:spacing w:val="-4"/>
          <w:sz w:val="24"/>
          <w:szCs w:val="24"/>
        </w:rPr>
        <w:t xml:space="preserve"> </w:t>
      </w:r>
      <w:r>
        <w:rPr>
          <w:b/>
          <w:bCs/>
          <w:color w:val="231F20"/>
          <w:sz w:val="24"/>
          <w:szCs w:val="24"/>
        </w:rPr>
        <w:t>a</w:t>
      </w:r>
      <w:r>
        <w:rPr>
          <w:b/>
          <w:bCs/>
          <w:color w:val="231F20"/>
          <w:spacing w:val="-4"/>
          <w:sz w:val="24"/>
          <w:szCs w:val="24"/>
        </w:rPr>
        <w:t xml:space="preserve"> </w:t>
      </w:r>
      <w:r>
        <w:rPr>
          <w:b/>
          <w:bCs/>
          <w:color w:val="231F20"/>
          <w:sz w:val="24"/>
          <w:szCs w:val="24"/>
        </w:rPr>
        <w:t>sustação</w:t>
      </w:r>
      <w:r>
        <w:rPr>
          <w:b/>
          <w:bCs/>
          <w:color w:val="231F20"/>
          <w:spacing w:val="-4"/>
          <w:sz w:val="24"/>
          <w:szCs w:val="24"/>
        </w:rPr>
        <w:t xml:space="preserve"> </w:t>
      </w:r>
      <w:r>
        <w:rPr>
          <w:b/>
          <w:bCs/>
          <w:color w:val="231F20"/>
          <w:sz w:val="24"/>
          <w:szCs w:val="24"/>
        </w:rPr>
        <w:t>do</w:t>
      </w:r>
      <w:r>
        <w:rPr>
          <w:b/>
          <w:bCs/>
          <w:color w:val="231F20"/>
          <w:spacing w:val="-4"/>
          <w:sz w:val="24"/>
          <w:szCs w:val="24"/>
        </w:rPr>
        <w:t xml:space="preserve"> </w:t>
      </w:r>
      <w:r>
        <w:rPr>
          <w:b/>
          <w:bCs/>
          <w:color w:val="231F20"/>
          <w:sz w:val="24"/>
          <w:szCs w:val="24"/>
        </w:rPr>
        <w:t>processo-crime</w:t>
      </w:r>
      <w:r>
        <w:rPr>
          <w:color w:val="231F20"/>
          <w:sz w:val="24"/>
          <w:szCs w:val="24"/>
        </w:rPr>
        <w:t xml:space="preserve"> que ora se cogita.</w:t>
      </w:r>
    </w:p>
    <w:p w14:paraId="0CD7B20B">
      <w:pPr>
        <w:pStyle w:val="19"/>
        <w:numPr>
          <w:ilvl w:val="0"/>
          <w:numId w:val="1"/>
        </w:numPr>
        <w:spacing w:before="240" w:after="240"/>
        <w:ind w:left="284" w:hanging="284"/>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DA </w:t>
      </w:r>
      <w:r>
        <w:rPr>
          <w:rFonts w:ascii="Times New Roman" w:hAnsi="Times New Roman" w:cs="Times New Roman"/>
          <w:b/>
          <w:bCs/>
          <w:sz w:val="24"/>
          <w:szCs w:val="24"/>
        </w:rPr>
        <w:t>COMPETÊNCIA DA ALEMA PARA SUSTAÇÃO DE AÇÃO PENAL E DA IMUNIDADE PARLAMENTAR</w:t>
      </w:r>
    </w:p>
    <w:p w14:paraId="4789B8E2">
      <w:pPr>
        <w:pStyle w:val="10"/>
        <w:spacing w:line="360" w:lineRule="auto"/>
        <w:ind w:firstLine="709"/>
        <w:jc w:val="both"/>
        <w:rPr>
          <w:color w:val="231F20"/>
          <w:sz w:val="24"/>
          <w:szCs w:val="24"/>
        </w:rPr>
      </w:pPr>
      <w:r>
        <w:rPr>
          <w:color w:val="231F20"/>
          <w:sz w:val="24"/>
          <w:szCs w:val="24"/>
        </w:rPr>
        <w:t>Assinale-se, ainda, que, na forma do que dispõe a norma constitucional supracitada,</w:t>
      </w:r>
      <w:r>
        <w:rPr>
          <w:color w:val="231F20"/>
          <w:spacing w:val="-13"/>
          <w:sz w:val="24"/>
          <w:szCs w:val="24"/>
        </w:rPr>
        <w:t xml:space="preserve"> </w:t>
      </w:r>
      <w:r>
        <w:rPr>
          <w:b/>
          <w:bCs/>
          <w:color w:val="231F20"/>
          <w:sz w:val="24"/>
          <w:szCs w:val="24"/>
        </w:rPr>
        <w:t>esta</w:t>
      </w:r>
      <w:r>
        <w:rPr>
          <w:b/>
          <w:bCs/>
          <w:color w:val="231F20"/>
          <w:spacing w:val="-12"/>
          <w:sz w:val="24"/>
          <w:szCs w:val="24"/>
        </w:rPr>
        <w:t xml:space="preserve"> </w:t>
      </w:r>
      <w:r>
        <w:rPr>
          <w:b/>
          <w:bCs/>
          <w:color w:val="231F20"/>
          <w:sz w:val="24"/>
          <w:szCs w:val="24"/>
        </w:rPr>
        <w:t>Assembleia</w:t>
      </w:r>
      <w:r>
        <w:rPr>
          <w:b/>
          <w:bCs/>
          <w:color w:val="231F20"/>
          <w:spacing w:val="-13"/>
          <w:sz w:val="24"/>
          <w:szCs w:val="24"/>
        </w:rPr>
        <w:t xml:space="preserve"> </w:t>
      </w:r>
      <w:r>
        <w:rPr>
          <w:b/>
          <w:bCs/>
          <w:color w:val="231F20"/>
          <w:sz w:val="24"/>
          <w:szCs w:val="24"/>
        </w:rPr>
        <w:t>Legislativa</w:t>
      </w:r>
      <w:r>
        <w:rPr>
          <w:b/>
          <w:bCs/>
          <w:color w:val="231F20"/>
          <w:spacing w:val="-10"/>
          <w:sz w:val="24"/>
          <w:szCs w:val="24"/>
        </w:rPr>
        <w:t xml:space="preserve"> </w:t>
      </w:r>
      <w:r>
        <w:rPr>
          <w:b/>
          <w:bCs/>
          <w:color w:val="231F20"/>
          <w:sz w:val="24"/>
          <w:szCs w:val="24"/>
        </w:rPr>
        <w:t>está</w:t>
      </w:r>
      <w:r>
        <w:rPr>
          <w:b/>
          <w:bCs/>
          <w:color w:val="231F20"/>
          <w:spacing w:val="-10"/>
          <w:sz w:val="24"/>
          <w:szCs w:val="24"/>
        </w:rPr>
        <w:t xml:space="preserve"> </w:t>
      </w:r>
      <w:r>
        <w:rPr>
          <w:b/>
          <w:bCs/>
          <w:color w:val="231F20"/>
          <w:sz w:val="24"/>
          <w:szCs w:val="24"/>
        </w:rPr>
        <w:t>autorizada</w:t>
      </w:r>
      <w:r>
        <w:rPr>
          <w:b/>
          <w:bCs/>
          <w:color w:val="231F20"/>
          <w:spacing w:val="-10"/>
          <w:sz w:val="24"/>
          <w:szCs w:val="24"/>
        </w:rPr>
        <w:t xml:space="preserve"> </w:t>
      </w:r>
      <w:r>
        <w:rPr>
          <w:b/>
          <w:bCs/>
          <w:color w:val="231F20"/>
          <w:sz w:val="24"/>
          <w:szCs w:val="24"/>
        </w:rPr>
        <w:t>a</w:t>
      </w:r>
      <w:r>
        <w:rPr>
          <w:b/>
          <w:bCs/>
          <w:color w:val="231F20"/>
          <w:spacing w:val="-10"/>
          <w:sz w:val="24"/>
          <w:szCs w:val="24"/>
        </w:rPr>
        <w:t xml:space="preserve"> </w:t>
      </w:r>
      <w:r>
        <w:rPr>
          <w:b/>
          <w:bCs/>
          <w:color w:val="231F20"/>
          <w:sz w:val="24"/>
          <w:szCs w:val="24"/>
        </w:rPr>
        <w:t>examinar</w:t>
      </w:r>
      <w:r>
        <w:rPr>
          <w:b/>
          <w:bCs/>
          <w:color w:val="231F20"/>
          <w:spacing w:val="-10"/>
          <w:sz w:val="24"/>
          <w:szCs w:val="24"/>
        </w:rPr>
        <w:t xml:space="preserve"> </w:t>
      </w:r>
      <w:r>
        <w:rPr>
          <w:b/>
          <w:bCs/>
          <w:color w:val="231F20"/>
          <w:sz w:val="24"/>
          <w:szCs w:val="24"/>
        </w:rPr>
        <w:t>os</w:t>
      </w:r>
      <w:r>
        <w:rPr>
          <w:b/>
          <w:bCs/>
          <w:color w:val="231F20"/>
          <w:spacing w:val="-10"/>
          <w:sz w:val="24"/>
          <w:szCs w:val="24"/>
        </w:rPr>
        <w:t xml:space="preserve"> </w:t>
      </w:r>
      <w:r>
        <w:rPr>
          <w:b/>
          <w:bCs/>
          <w:color w:val="231F20"/>
          <w:sz w:val="24"/>
          <w:szCs w:val="24"/>
        </w:rPr>
        <w:t>fatos</w:t>
      </w:r>
      <w:r>
        <w:rPr>
          <w:b/>
          <w:bCs/>
          <w:color w:val="231F20"/>
          <w:spacing w:val="-10"/>
          <w:sz w:val="24"/>
          <w:szCs w:val="24"/>
        </w:rPr>
        <w:t xml:space="preserve"> </w:t>
      </w:r>
      <w:r>
        <w:rPr>
          <w:b/>
          <w:bCs/>
          <w:color w:val="231F20"/>
          <w:sz w:val="24"/>
          <w:szCs w:val="24"/>
        </w:rPr>
        <w:t>delituosos</w:t>
      </w:r>
      <w:r>
        <w:rPr>
          <w:b/>
          <w:bCs/>
          <w:color w:val="231F20"/>
          <w:spacing w:val="-3"/>
          <w:sz w:val="24"/>
          <w:szCs w:val="24"/>
        </w:rPr>
        <w:t xml:space="preserve"> </w:t>
      </w:r>
      <w:r>
        <w:rPr>
          <w:b/>
          <w:bCs/>
          <w:color w:val="231F20"/>
          <w:sz w:val="24"/>
          <w:szCs w:val="24"/>
        </w:rPr>
        <w:t>imputados</w:t>
      </w:r>
      <w:r>
        <w:rPr>
          <w:b/>
          <w:bCs/>
          <w:color w:val="231F20"/>
          <w:spacing w:val="-3"/>
          <w:sz w:val="24"/>
          <w:szCs w:val="24"/>
        </w:rPr>
        <w:t xml:space="preserve"> </w:t>
      </w:r>
      <w:r>
        <w:rPr>
          <w:b/>
          <w:bCs/>
          <w:color w:val="231F20"/>
          <w:sz w:val="24"/>
          <w:szCs w:val="24"/>
        </w:rPr>
        <w:t>ao Deputado Dr. Yglésio,</w:t>
      </w:r>
      <w:r>
        <w:rPr>
          <w:b/>
          <w:bCs/>
          <w:color w:val="231F20"/>
          <w:spacing w:val="-3"/>
          <w:sz w:val="24"/>
          <w:szCs w:val="24"/>
        </w:rPr>
        <w:t xml:space="preserve"> </w:t>
      </w:r>
      <w:r>
        <w:rPr>
          <w:b/>
          <w:bCs/>
          <w:color w:val="231F20"/>
          <w:sz w:val="24"/>
          <w:szCs w:val="24"/>
        </w:rPr>
        <w:t>uma</w:t>
      </w:r>
      <w:r>
        <w:rPr>
          <w:b/>
          <w:bCs/>
          <w:color w:val="231F20"/>
          <w:spacing w:val="-3"/>
          <w:sz w:val="24"/>
          <w:szCs w:val="24"/>
        </w:rPr>
        <w:t xml:space="preserve"> </w:t>
      </w:r>
      <w:r>
        <w:rPr>
          <w:b/>
          <w:bCs/>
          <w:color w:val="231F20"/>
          <w:sz w:val="24"/>
          <w:szCs w:val="24"/>
        </w:rPr>
        <w:t>vez</w:t>
      </w:r>
      <w:r>
        <w:rPr>
          <w:b/>
          <w:bCs/>
          <w:color w:val="231F20"/>
          <w:spacing w:val="-3"/>
          <w:sz w:val="24"/>
          <w:szCs w:val="24"/>
        </w:rPr>
        <w:t xml:space="preserve"> </w:t>
      </w:r>
      <w:r>
        <w:rPr>
          <w:b/>
          <w:bCs/>
          <w:color w:val="231F20"/>
          <w:sz w:val="24"/>
          <w:szCs w:val="24"/>
        </w:rPr>
        <w:t>que</w:t>
      </w:r>
      <w:r>
        <w:rPr>
          <w:b/>
          <w:bCs/>
          <w:color w:val="231F20"/>
          <w:spacing w:val="-3"/>
          <w:sz w:val="24"/>
          <w:szCs w:val="24"/>
        </w:rPr>
        <w:t xml:space="preserve"> </w:t>
      </w:r>
      <w:r>
        <w:rPr>
          <w:b/>
          <w:bCs/>
          <w:color w:val="231F20"/>
          <w:sz w:val="24"/>
          <w:szCs w:val="24"/>
        </w:rPr>
        <w:t>ocorreram</w:t>
      </w:r>
      <w:r>
        <w:rPr>
          <w:b/>
          <w:bCs/>
          <w:color w:val="231F20"/>
          <w:spacing w:val="-3"/>
          <w:sz w:val="24"/>
          <w:szCs w:val="24"/>
        </w:rPr>
        <w:t xml:space="preserve"> </w:t>
      </w:r>
      <w:r>
        <w:rPr>
          <w:b/>
          <w:bCs/>
          <w:color w:val="231F20"/>
          <w:sz w:val="24"/>
          <w:szCs w:val="24"/>
        </w:rPr>
        <w:t>após</w:t>
      </w:r>
      <w:r>
        <w:rPr>
          <w:b/>
          <w:bCs/>
          <w:color w:val="231F20"/>
          <w:spacing w:val="-3"/>
          <w:sz w:val="24"/>
          <w:szCs w:val="24"/>
        </w:rPr>
        <w:t xml:space="preserve"> </w:t>
      </w:r>
      <w:r>
        <w:rPr>
          <w:b/>
          <w:bCs/>
          <w:color w:val="231F20"/>
          <w:sz w:val="24"/>
          <w:szCs w:val="24"/>
        </w:rPr>
        <w:t>a</w:t>
      </w:r>
      <w:r>
        <w:rPr>
          <w:b/>
          <w:bCs/>
          <w:color w:val="231F20"/>
          <w:spacing w:val="-3"/>
          <w:sz w:val="24"/>
          <w:szCs w:val="24"/>
        </w:rPr>
        <w:t xml:space="preserve"> </w:t>
      </w:r>
      <w:r>
        <w:rPr>
          <w:b/>
          <w:bCs/>
          <w:color w:val="231F20"/>
          <w:sz w:val="24"/>
          <w:szCs w:val="24"/>
        </w:rPr>
        <w:t>sua</w:t>
      </w:r>
      <w:r>
        <w:rPr>
          <w:b/>
          <w:bCs/>
          <w:color w:val="231F20"/>
          <w:spacing w:val="-3"/>
          <w:sz w:val="24"/>
          <w:szCs w:val="24"/>
        </w:rPr>
        <w:t xml:space="preserve"> </w:t>
      </w:r>
      <w:r>
        <w:rPr>
          <w:b/>
          <w:bCs/>
          <w:color w:val="231F20"/>
          <w:sz w:val="24"/>
          <w:szCs w:val="24"/>
        </w:rPr>
        <w:t>diplomação</w:t>
      </w:r>
      <w:r>
        <w:rPr>
          <w:color w:val="231F20"/>
          <w:sz w:val="24"/>
          <w:szCs w:val="24"/>
        </w:rPr>
        <w:t>,</w:t>
      </w:r>
      <w:r>
        <w:rPr>
          <w:color w:val="231F20"/>
          <w:spacing w:val="-3"/>
          <w:sz w:val="24"/>
          <w:szCs w:val="24"/>
        </w:rPr>
        <w:t xml:space="preserve"> </w:t>
      </w:r>
      <w:r>
        <w:rPr>
          <w:color w:val="231F20"/>
          <w:sz w:val="24"/>
          <w:szCs w:val="24"/>
        </w:rPr>
        <w:t>e,</w:t>
      </w:r>
      <w:r>
        <w:rPr>
          <w:color w:val="231F20"/>
          <w:spacing w:val="-3"/>
          <w:sz w:val="24"/>
          <w:szCs w:val="24"/>
        </w:rPr>
        <w:t xml:space="preserve"> </w:t>
      </w:r>
      <w:r>
        <w:rPr>
          <w:color w:val="231F20"/>
          <w:sz w:val="24"/>
          <w:szCs w:val="24"/>
        </w:rPr>
        <w:t>por</w:t>
      </w:r>
      <w:r>
        <w:rPr>
          <w:color w:val="231F20"/>
          <w:spacing w:val="-3"/>
          <w:sz w:val="24"/>
          <w:szCs w:val="24"/>
        </w:rPr>
        <w:t xml:space="preserve"> </w:t>
      </w:r>
      <w:r>
        <w:rPr>
          <w:color w:val="231F20"/>
          <w:sz w:val="24"/>
          <w:szCs w:val="24"/>
        </w:rPr>
        <w:t>consequência,</w:t>
      </w:r>
      <w:r>
        <w:rPr>
          <w:color w:val="231F20"/>
          <w:spacing w:val="-3"/>
          <w:sz w:val="24"/>
          <w:szCs w:val="24"/>
        </w:rPr>
        <w:t xml:space="preserve"> </w:t>
      </w:r>
      <w:r>
        <w:rPr>
          <w:color w:val="231F20"/>
          <w:sz w:val="24"/>
          <w:szCs w:val="24"/>
        </w:rPr>
        <w:t>encontra-se</w:t>
      </w:r>
      <w:r>
        <w:rPr>
          <w:color w:val="231F20"/>
          <w:spacing w:val="-3"/>
          <w:sz w:val="24"/>
          <w:szCs w:val="24"/>
        </w:rPr>
        <w:t xml:space="preserve"> </w:t>
      </w:r>
      <w:r>
        <w:rPr>
          <w:color w:val="231F20"/>
          <w:sz w:val="24"/>
          <w:szCs w:val="24"/>
        </w:rPr>
        <w:t>apta</w:t>
      </w:r>
      <w:r>
        <w:rPr>
          <w:color w:val="231F20"/>
          <w:spacing w:val="-3"/>
          <w:sz w:val="24"/>
          <w:szCs w:val="24"/>
        </w:rPr>
        <w:t xml:space="preserve"> </w:t>
      </w:r>
      <w:r>
        <w:rPr>
          <w:color w:val="231F20"/>
          <w:sz w:val="24"/>
          <w:szCs w:val="24"/>
        </w:rPr>
        <w:t>a</w:t>
      </w:r>
      <w:r>
        <w:rPr>
          <w:color w:val="231F20"/>
          <w:spacing w:val="-3"/>
          <w:sz w:val="24"/>
          <w:szCs w:val="24"/>
        </w:rPr>
        <w:t xml:space="preserve"> </w:t>
      </w:r>
      <w:r>
        <w:rPr>
          <w:color w:val="231F20"/>
          <w:sz w:val="24"/>
          <w:szCs w:val="24"/>
        </w:rPr>
        <w:t>considerar</w:t>
      </w:r>
      <w:r>
        <w:rPr>
          <w:color w:val="231F20"/>
          <w:spacing w:val="-3"/>
          <w:sz w:val="24"/>
          <w:szCs w:val="24"/>
        </w:rPr>
        <w:t xml:space="preserve"> </w:t>
      </w:r>
      <w:r>
        <w:rPr>
          <w:color w:val="231F20"/>
          <w:sz w:val="24"/>
          <w:szCs w:val="24"/>
        </w:rPr>
        <w:t>a</w:t>
      </w:r>
      <w:r>
        <w:rPr>
          <w:color w:val="231F20"/>
          <w:spacing w:val="-3"/>
          <w:sz w:val="24"/>
          <w:szCs w:val="24"/>
        </w:rPr>
        <w:t xml:space="preserve"> </w:t>
      </w:r>
      <w:r>
        <w:rPr>
          <w:color w:val="231F20"/>
          <w:sz w:val="24"/>
          <w:szCs w:val="24"/>
        </w:rPr>
        <w:t>conveniência</w:t>
      </w:r>
      <w:r>
        <w:rPr>
          <w:color w:val="231F20"/>
          <w:spacing w:val="-3"/>
          <w:sz w:val="24"/>
          <w:szCs w:val="24"/>
        </w:rPr>
        <w:t xml:space="preserve"> </w:t>
      </w:r>
      <w:r>
        <w:rPr>
          <w:color w:val="231F20"/>
          <w:sz w:val="24"/>
          <w:szCs w:val="24"/>
        </w:rPr>
        <w:t>ou</w:t>
      </w:r>
      <w:r>
        <w:rPr>
          <w:color w:val="231F20"/>
          <w:spacing w:val="-3"/>
          <w:sz w:val="24"/>
          <w:szCs w:val="24"/>
        </w:rPr>
        <w:t xml:space="preserve"> </w:t>
      </w:r>
      <w:r>
        <w:rPr>
          <w:color w:val="231F20"/>
          <w:sz w:val="24"/>
          <w:szCs w:val="24"/>
        </w:rPr>
        <w:t>não</w:t>
      </w:r>
      <w:r>
        <w:rPr>
          <w:color w:val="231F20"/>
          <w:spacing w:val="-3"/>
          <w:sz w:val="24"/>
          <w:szCs w:val="24"/>
        </w:rPr>
        <w:t xml:space="preserve"> </w:t>
      </w:r>
      <w:r>
        <w:rPr>
          <w:color w:val="231F20"/>
          <w:sz w:val="24"/>
          <w:szCs w:val="24"/>
        </w:rPr>
        <w:t xml:space="preserve">em se sustar a tramitação da respectiva ação penal. </w:t>
      </w:r>
    </w:p>
    <w:p w14:paraId="43FB2279">
      <w:pPr>
        <w:pStyle w:val="10"/>
        <w:spacing w:line="360" w:lineRule="auto"/>
        <w:ind w:firstLine="709"/>
        <w:jc w:val="both"/>
        <w:rPr>
          <w:color w:val="231F20"/>
          <w:sz w:val="24"/>
          <w:szCs w:val="24"/>
        </w:rPr>
      </w:pPr>
    </w:p>
    <w:p w14:paraId="68E62FC1">
      <w:pPr>
        <w:pStyle w:val="10"/>
        <w:spacing w:line="360" w:lineRule="auto"/>
        <w:ind w:firstLine="709"/>
        <w:jc w:val="both"/>
        <w:rPr>
          <w:color w:val="231F20"/>
          <w:sz w:val="24"/>
          <w:szCs w:val="24"/>
        </w:rPr>
      </w:pPr>
      <w:r>
        <w:rPr>
          <w:b/>
          <w:bCs/>
          <w:color w:val="231F20"/>
          <w:sz w:val="24"/>
          <w:szCs w:val="24"/>
        </w:rPr>
        <w:t>Contudo, cumpre descatar que, os supostos fatos ilícitos imputados ao denunciado, ocorreram no período de 17 de abril de 2020 a 22 de abril de 2020, quando o parlamentar cumpria mandato pertinente à 19ª legislatura 2019/2022, tendo sido reeleito para a 20ª legislatura 2023/2026, que se iniciou em janeiro de 2023 e encerrar-se-á em dezembro de 2026</w:t>
      </w:r>
      <w:r>
        <w:rPr>
          <w:color w:val="231F20"/>
          <w:sz w:val="24"/>
          <w:szCs w:val="24"/>
        </w:rPr>
        <w:t xml:space="preserve">. </w:t>
      </w:r>
    </w:p>
    <w:p w14:paraId="183CA081">
      <w:pPr>
        <w:pStyle w:val="10"/>
        <w:spacing w:line="360" w:lineRule="auto"/>
        <w:ind w:firstLine="709"/>
        <w:jc w:val="both"/>
        <w:rPr>
          <w:color w:val="231F20"/>
          <w:sz w:val="24"/>
          <w:szCs w:val="24"/>
        </w:rPr>
      </w:pPr>
    </w:p>
    <w:p w14:paraId="36E1F325">
      <w:pPr>
        <w:pStyle w:val="10"/>
        <w:spacing w:line="360" w:lineRule="auto"/>
        <w:ind w:firstLine="709"/>
        <w:jc w:val="both"/>
        <w:rPr>
          <w:color w:val="231F20"/>
          <w:sz w:val="24"/>
          <w:szCs w:val="24"/>
        </w:rPr>
      </w:pPr>
      <w:r>
        <w:rPr>
          <w:color w:val="231F20"/>
          <w:sz w:val="24"/>
          <w:szCs w:val="24"/>
        </w:rPr>
        <w:t>A respeito do tema, colacionamos o seguinte julgado:</w:t>
      </w:r>
    </w:p>
    <w:p w14:paraId="5D06C0B2">
      <w:pPr>
        <w:pStyle w:val="10"/>
        <w:spacing w:line="360" w:lineRule="auto"/>
        <w:ind w:firstLine="709"/>
        <w:jc w:val="both"/>
        <w:rPr>
          <w:color w:val="231F20"/>
          <w:sz w:val="24"/>
          <w:szCs w:val="24"/>
        </w:rPr>
      </w:pPr>
    </w:p>
    <w:p w14:paraId="3FAB66EB">
      <w:pPr>
        <w:pStyle w:val="10"/>
        <w:ind w:left="2268"/>
        <w:jc w:val="both"/>
        <w:rPr>
          <w:color w:val="231F20"/>
          <w:lang w:val="pt-BR"/>
        </w:rPr>
      </w:pPr>
      <w:r>
        <w:rPr>
          <w:color w:val="231F20"/>
          <w:lang w:val="pt-BR"/>
        </w:rPr>
        <w:t xml:space="preserve">EMENTA: PROCESSUAL PENAL. AGRAVO REGIMENTAL EM AGRAVO DE INSTRUMENTO. IMUNIDADE PROCESSUAL. SUSPENSÃO DE AÇÃO PENAL. SOMENTE EM RELAÇÃO A CRIMES COMETIDOS NA LEGISLATURA VIGENTE. PRECEDENTES. AGRAVO IMPROVIDO. </w:t>
      </w:r>
      <w:r>
        <w:rPr>
          <w:b/>
          <w:bCs/>
          <w:color w:val="231F20"/>
          <w:lang w:val="pt-BR"/>
        </w:rPr>
        <w:t xml:space="preserve">I - A Casa Legislativa somente pode suspender as ações contra parlamentares que tiverem como objeto de apuração crimes cometidos após a diplomação do mandato em curso, </w:t>
      </w:r>
      <w:r>
        <w:rPr>
          <w:b/>
          <w:bCs/>
          <w:color w:val="231F20"/>
          <w:u w:val="single"/>
          <w:lang w:val="pt-BR"/>
        </w:rPr>
        <w:t>o mesmo não sendo possível em relação aos mandatos de legislaturas pretéritas</w:t>
      </w:r>
      <w:r>
        <w:rPr>
          <w:color w:val="231F20"/>
          <w:lang w:val="pt-BR"/>
        </w:rPr>
        <w:t>. II - Agravo regimental improvido. (</w:t>
      </w:r>
      <w:r>
        <w:rPr>
          <w:b/>
          <w:bCs/>
          <w:color w:val="231F20"/>
          <w:lang w:val="pt-BR"/>
        </w:rPr>
        <w:t>RE 457514</w:t>
      </w:r>
      <w:r>
        <w:rPr>
          <w:color w:val="231F20"/>
          <w:lang w:val="pt-BR"/>
        </w:rPr>
        <w:t xml:space="preserve"> </w:t>
      </w:r>
      <w:r>
        <w:rPr>
          <w:b/>
          <w:bCs/>
          <w:color w:val="231F20"/>
          <w:lang w:val="pt-BR"/>
        </w:rPr>
        <w:t>AgR</w:t>
      </w:r>
      <w:r>
        <w:rPr>
          <w:color w:val="231F20"/>
          <w:lang w:val="pt-BR"/>
        </w:rPr>
        <w:t>, Relator(a): Ricardo Lewandowski, Primeira Turma, julgado em 27-11-2007, DJe-165 Divulg 18-12-2007 Public 19-12-2007 DJ 19-12-2007 PP-00047 EMENT VOL-02304-04 PP-00663 LEXSTF v. 30, n. 353, 2008, p. 513-518)</w:t>
      </w:r>
    </w:p>
    <w:p w14:paraId="2D981266">
      <w:pPr>
        <w:pStyle w:val="10"/>
        <w:ind w:left="2268"/>
        <w:jc w:val="both"/>
        <w:rPr>
          <w:color w:val="231F20"/>
          <w:lang w:val="pt-BR"/>
        </w:rPr>
      </w:pPr>
      <w:r>
        <w:rPr>
          <w:color w:val="231F20"/>
          <w:lang w:val="pt-BR"/>
        </w:rPr>
        <w:t xml:space="preserve"> Em igual sentido: </w:t>
      </w:r>
      <w:r>
        <w:rPr>
          <w:b/>
          <w:bCs/>
          <w:color w:val="231F20"/>
          <w:lang w:val="pt-BR"/>
        </w:rPr>
        <w:t>RE 429.167/RO</w:t>
      </w:r>
      <w:r>
        <w:rPr>
          <w:color w:val="231F20"/>
          <w:lang w:val="pt-BR"/>
        </w:rPr>
        <w:t xml:space="preserve">, Rel. Min. Carlos Britto, DJe 47, de 13.03.2008, publicado em 14/03/2008; </w:t>
      </w:r>
      <w:r>
        <w:rPr>
          <w:b/>
          <w:bCs/>
          <w:color w:val="231F20"/>
          <w:lang w:val="pt-BR"/>
        </w:rPr>
        <w:t>AI 580.439/RO</w:t>
      </w:r>
      <w:r>
        <w:rPr>
          <w:color w:val="231F20"/>
          <w:lang w:val="pt-BR"/>
        </w:rPr>
        <w:t>, Rel. Min. Ellen Gracie, DJU de 06.02.2006, p. 93) (grifos nossos)</w:t>
      </w:r>
    </w:p>
    <w:p w14:paraId="09AD6882">
      <w:pPr>
        <w:pStyle w:val="10"/>
        <w:spacing w:line="360" w:lineRule="auto"/>
        <w:ind w:firstLine="709"/>
        <w:jc w:val="both"/>
        <w:rPr>
          <w:color w:val="231F20"/>
          <w:sz w:val="24"/>
          <w:szCs w:val="24"/>
        </w:rPr>
      </w:pPr>
      <w:r>
        <w:rPr>
          <w:color w:val="231F20"/>
          <w:sz w:val="24"/>
          <w:szCs w:val="24"/>
        </w:rPr>
        <w:t xml:space="preserve">  </w:t>
      </w:r>
    </w:p>
    <w:p w14:paraId="7C24B6E8">
      <w:pPr>
        <w:pStyle w:val="10"/>
        <w:spacing w:line="360" w:lineRule="auto"/>
        <w:ind w:firstLine="709"/>
        <w:jc w:val="both"/>
        <w:rPr>
          <w:color w:val="231F20"/>
          <w:sz w:val="24"/>
          <w:szCs w:val="24"/>
          <w:lang w:val="pt-BR"/>
        </w:rPr>
      </w:pPr>
      <w:r>
        <w:rPr>
          <w:color w:val="231F20"/>
          <w:sz w:val="24"/>
          <w:szCs w:val="24"/>
          <w:lang w:val="pt-BR"/>
        </w:rPr>
        <w:t xml:space="preserve">Não obstante, em relação ao caso em análise, ainda que a suposta conduta atribuída ao Deputado Dr. Yglésio tenha sido praticada durante a </w:t>
      </w:r>
      <w:r>
        <w:rPr>
          <w:b/>
          <w:bCs/>
          <w:color w:val="231F20"/>
          <w:sz w:val="24"/>
          <w:szCs w:val="24"/>
          <w:lang w:val="pt-BR"/>
        </w:rPr>
        <w:t>19ª Legislatura (2019/2022)</w:t>
      </w:r>
      <w:r>
        <w:rPr>
          <w:color w:val="231F20"/>
          <w:sz w:val="24"/>
          <w:szCs w:val="24"/>
          <w:lang w:val="pt-BR"/>
        </w:rPr>
        <w:t xml:space="preserve">, é fundamental ressaltar que </w:t>
      </w:r>
      <w:r>
        <w:rPr>
          <w:b/>
          <w:bCs/>
          <w:color w:val="231F20"/>
          <w:sz w:val="24"/>
          <w:szCs w:val="24"/>
          <w:lang w:val="pt-BR"/>
        </w:rPr>
        <w:t>a Queixa-Crime somente foi formalmente recebida pelo Órgão Especial do Tribunal de Justiça do Maranhão (TJ/MA) em 31 de maio de 2023</w:t>
      </w:r>
      <w:r>
        <w:rPr>
          <w:color w:val="231F20"/>
          <w:sz w:val="24"/>
          <w:szCs w:val="24"/>
          <w:lang w:val="pt-BR"/>
        </w:rPr>
        <w:t xml:space="preserve">, já no decorrer da </w:t>
      </w:r>
      <w:r>
        <w:rPr>
          <w:b/>
          <w:bCs/>
          <w:color w:val="231F20"/>
          <w:sz w:val="24"/>
          <w:szCs w:val="24"/>
          <w:lang w:val="pt-BR"/>
        </w:rPr>
        <w:t>20ª Legislatura (2023/2026)</w:t>
      </w:r>
      <w:r>
        <w:rPr>
          <w:color w:val="231F20"/>
          <w:sz w:val="24"/>
          <w:szCs w:val="24"/>
          <w:lang w:val="pt-BR"/>
        </w:rPr>
        <w:t>, conforme consta da Certidão de Julgamento (ID 26230747) dos autos da Ação Penal.</w:t>
      </w:r>
    </w:p>
    <w:p w14:paraId="009C81B3">
      <w:pPr>
        <w:pStyle w:val="10"/>
        <w:spacing w:line="360" w:lineRule="auto"/>
        <w:ind w:firstLine="709"/>
        <w:jc w:val="both"/>
        <w:rPr>
          <w:color w:val="231F20"/>
          <w:sz w:val="24"/>
          <w:szCs w:val="24"/>
          <w:lang w:val="pt-BR"/>
        </w:rPr>
      </w:pPr>
    </w:p>
    <w:p w14:paraId="2789E70F">
      <w:pPr>
        <w:pStyle w:val="10"/>
        <w:spacing w:line="360" w:lineRule="auto"/>
        <w:ind w:firstLine="709"/>
        <w:jc w:val="both"/>
        <w:rPr>
          <w:color w:val="231F20"/>
          <w:sz w:val="24"/>
          <w:szCs w:val="24"/>
          <w:lang w:val="pt-BR"/>
        </w:rPr>
      </w:pPr>
      <w:r>
        <w:rPr>
          <w:color w:val="231F20"/>
          <w:sz w:val="24"/>
          <w:szCs w:val="24"/>
          <w:lang w:val="pt-BR"/>
        </w:rPr>
        <w:t xml:space="preserve">Considerando a literalidade do </w:t>
      </w:r>
      <w:r>
        <w:rPr>
          <w:b/>
          <w:bCs/>
          <w:color w:val="231F20"/>
          <w:sz w:val="24"/>
          <w:szCs w:val="24"/>
          <w:lang w:val="pt-BR"/>
        </w:rPr>
        <w:t>artigo 36, §3º, da Constituição do Estado do Maranhão</w:t>
      </w:r>
      <w:r>
        <w:rPr>
          <w:color w:val="231F20"/>
          <w:sz w:val="24"/>
          <w:szCs w:val="24"/>
          <w:lang w:val="pt-BR"/>
        </w:rPr>
        <w:t xml:space="preserve">, que estabelece que a Assembleia Legislativa poderá sustar o andamento da ação penal </w:t>
      </w:r>
      <w:r>
        <w:rPr>
          <w:b/>
          <w:bCs/>
          <w:color w:val="231F20"/>
          <w:sz w:val="24"/>
          <w:szCs w:val="24"/>
          <w:lang w:val="pt-BR"/>
        </w:rPr>
        <w:t>"até a decisão final"</w:t>
      </w:r>
      <w:r>
        <w:rPr>
          <w:color w:val="231F20"/>
          <w:sz w:val="24"/>
          <w:szCs w:val="24"/>
          <w:lang w:val="pt-BR"/>
        </w:rPr>
        <w:t xml:space="preserve">, desde que a denúncia tenha sido recebida após a diplomação do parlamentar, </w:t>
      </w:r>
      <w:r>
        <w:rPr>
          <w:b/>
          <w:bCs/>
          <w:color w:val="231F20"/>
          <w:sz w:val="24"/>
          <w:szCs w:val="24"/>
          <w:lang w:val="pt-BR"/>
        </w:rPr>
        <w:t>entendemos que a prerrogativa da ALEMA não está vinculada, dependendo do momento da prática do fato imputado, mas sim à instauração formal do processo criminal</w:t>
      </w:r>
      <w:r>
        <w:rPr>
          <w:color w:val="231F20"/>
          <w:sz w:val="24"/>
          <w:szCs w:val="24"/>
          <w:lang w:val="pt-BR"/>
        </w:rPr>
        <w:t>.</w:t>
      </w:r>
    </w:p>
    <w:p w14:paraId="5B828D60">
      <w:pPr>
        <w:pStyle w:val="10"/>
        <w:spacing w:line="360" w:lineRule="auto"/>
        <w:ind w:firstLine="709"/>
        <w:jc w:val="both"/>
        <w:rPr>
          <w:color w:val="231F20"/>
          <w:sz w:val="24"/>
          <w:szCs w:val="24"/>
          <w:lang w:val="pt-BR"/>
        </w:rPr>
      </w:pPr>
    </w:p>
    <w:p w14:paraId="35531C50">
      <w:pPr>
        <w:pStyle w:val="10"/>
        <w:spacing w:line="360" w:lineRule="auto"/>
        <w:ind w:firstLine="709"/>
        <w:jc w:val="both"/>
        <w:rPr>
          <w:color w:val="231F20"/>
          <w:sz w:val="24"/>
          <w:szCs w:val="24"/>
          <w:lang w:val="pt-BR"/>
        </w:rPr>
      </w:pPr>
      <w:r>
        <w:rPr>
          <w:color w:val="231F20"/>
          <w:sz w:val="24"/>
          <w:szCs w:val="24"/>
          <w:lang w:val="pt-BR"/>
        </w:rPr>
        <w:t xml:space="preserve">A Constituição ao estabelecer a limitação de sustação às ações penais relativas ao mandato em curso, fundamentou-se na necessidade de </w:t>
      </w:r>
      <w:r>
        <w:rPr>
          <w:b/>
          <w:bCs/>
          <w:color w:val="231F20"/>
          <w:sz w:val="24"/>
          <w:szCs w:val="24"/>
          <w:lang w:val="pt-BR"/>
        </w:rPr>
        <w:t>proteger o livre exercício da função parlamentar</w:t>
      </w:r>
      <w:r>
        <w:rPr>
          <w:color w:val="231F20"/>
          <w:sz w:val="24"/>
          <w:szCs w:val="24"/>
          <w:lang w:val="pt-BR"/>
        </w:rPr>
        <w:t xml:space="preserve">, </w:t>
      </w:r>
      <w:r>
        <w:rPr>
          <w:b/>
          <w:bCs/>
          <w:color w:val="231F20"/>
          <w:sz w:val="24"/>
          <w:szCs w:val="24"/>
          <w:lang w:val="pt-BR"/>
        </w:rPr>
        <w:t>evitando que os processos judiciais comprometam o desempenho de um Deputado durante a legislatura vigente</w:t>
      </w:r>
      <w:r>
        <w:rPr>
          <w:color w:val="231F20"/>
          <w:sz w:val="24"/>
          <w:szCs w:val="24"/>
          <w:lang w:val="pt-BR"/>
        </w:rPr>
        <w:t xml:space="preserve"> e, garantindo que a atividade legislativa não seja indevidamente afetada. </w:t>
      </w:r>
    </w:p>
    <w:p w14:paraId="76F23697">
      <w:pPr>
        <w:pStyle w:val="10"/>
        <w:spacing w:line="360" w:lineRule="auto"/>
        <w:ind w:firstLine="709"/>
        <w:jc w:val="both"/>
        <w:rPr>
          <w:color w:val="231F20"/>
          <w:sz w:val="24"/>
          <w:szCs w:val="24"/>
          <w:lang w:val="pt-BR"/>
        </w:rPr>
      </w:pPr>
    </w:p>
    <w:p w14:paraId="5B7B410D">
      <w:pPr>
        <w:pStyle w:val="10"/>
        <w:spacing w:line="360" w:lineRule="auto"/>
        <w:ind w:firstLine="709"/>
        <w:jc w:val="both"/>
        <w:rPr>
          <w:color w:val="231F20"/>
          <w:sz w:val="24"/>
          <w:szCs w:val="24"/>
          <w:lang w:val="pt-BR"/>
        </w:rPr>
      </w:pPr>
      <w:r>
        <w:rPr>
          <w:color w:val="231F20"/>
          <w:sz w:val="24"/>
          <w:szCs w:val="24"/>
          <w:lang w:val="pt-BR"/>
        </w:rPr>
        <w:t xml:space="preserve">Essa prerrogativa, prevista na Constituição Estadual, inspirada no artigo 53, §3º, da Constituição Federal, permite que uma Assembleia Legislativa avalie não apenas a legalidade, mas também a conveniência político-institucional da continuidade da ação penal contra um de seus membros, garantindo a </w:t>
      </w:r>
      <w:r>
        <w:rPr>
          <w:b/>
          <w:bCs/>
          <w:color w:val="231F20"/>
          <w:sz w:val="24"/>
          <w:szCs w:val="24"/>
          <w:lang w:val="pt-BR"/>
        </w:rPr>
        <w:t>autonomia e a independência do Poder Legislativo</w:t>
      </w:r>
      <w:r>
        <w:rPr>
          <w:color w:val="231F20"/>
          <w:sz w:val="24"/>
          <w:szCs w:val="24"/>
          <w:lang w:val="pt-BR"/>
        </w:rPr>
        <w:t>.</w:t>
      </w:r>
    </w:p>
    <w:p w14:paraId="785EB380">
      <w:pPr>
        <w:pStyle w:val="10"/>
        <w:spacing w:line="360" w:lineRule="auto"/>
        <w:ind w:firstLine="709"/>
        <w:jc w:val="both"/>
        <w:rPr>
          <w:color w:val="231F20"/>
          <w:sz w:val="24"/>
          <w:szCs w:val="24"/>
          <w:lang w:val="pt-BR"/>
        </w:rPr>
      </w:pPr>
    </w:p>
    <w:p w14:paraId="7071EFE8">
      <w:pPr>
        <w:pStyle w:val="10"/>
        <w:spacing w:line="360" w:lineRule="auto"/>
        <w:ind w:firstLine="709"/>
        <w:jc w:val="both"/>
        <w:rPr>
          <w:color w:val="231F20"/>
          <w:sz w:val="24"/>
          <w:szCs w:val="24"/>
          <w:lang w:val="pt-BR"/>
        </w:rPr>
      </w:pPr>
      <w:r>
        <w:rPr>
          <w:color w:val="231F20"/>
          <w:sz w:val="24"/>
          <w:szCs w:val="24"/>
          <w:lang w:val="pt-BR"/>
        </w:rPr>
        <w:t xml:space="preserve">Assim, como exposto, no presente caso, </w:t>
      </w:r>
      <w:r>
        <w:rPr>
          <w:b/>
          <w:bCs/>
          <w:color w:val="231F20"/>
          <w:sz w:val="24"/>
          <w:szCs w:val="24"/>
          <w:lang w:val="pt-BR"/>
        </w:rPr>
        <w:t>a recepção da denúncia pelo TJ ocorreu tão somente no exercício da nova legislativa (2023/2026), período em que a imunidade processual parlamentar tem a sua plena aplicabilidade</w:t>
      </w:r>
      <w:r>
        <w:rPr>
          <w:color w:val="231F20"/>
          <w:sz w:val="24"/>
          <w:szCs w:val="24"/>
          <w:lang w:val="pt-BR"/>
        </w:rPr>
        <w:t>, permitindo que a ALEMA avalie a conveniência da sustação da ação penal.</w:t>
      </w:r>
    </w:p>
    <w:p w14:paraId="677B1BAC">
      <w:pPr>
        <w:pStyle w:val="10"/>
        <w:spacing w:line="360" w:lineRule="auto"/>
        <w:ind w:firstLine="709"/>
        <w:jc w:val="both"/>
        <w:rPr>
          <w:color w:val="231F20"/>
          <w:sz w:val="24"/>
          <w:szCs w:val="24"/>
          <w:lang w:val="pt-BR"/>
        </w:rPr>
      </w:pPr>
    </w:p>
    <w:p w14:paraId="5E0D7FBB">
      <w:pPr>
        <w:pStyle w:val="10"/>
        <w:spacing w:line="360" w:lineRule="auto"/>
        <w:ind w:firstLine="709"/>
        <w:jc w:val="both"/>
        <w:rPr>
          <w:color w:val="231F20"/>
          <w:sz w:val="24"/>
          <w:szCs w:val="24"/>
          <w:lang w:val="pt-BR"/>
        </w:rPr>
      </w:pPr>
      <w:r>
        <w:rPr>
          <w:color w:val="231F20"/>
          <w:sz w:val="24"/>
          <w:szCs w:val="24"/>
          <w:lang w:val="pt-BR"/>
        </w:rPr>
        <w:t xml:space="preserve">Dessa forma, a impossibilidade de sustação de ação penal relativa à legislatura anterior só se justificaria </w:t>
      </w:r>
      <w:r>
        <w:rPr>
          <w:b/>
          <w:bCs/>
          <w:color w:val="231F20"/>
          <w:sz w:val="24"/>
          <w:szCs w:val="24"/>
          <w:lang w:val="pt-BR"/>
        </w:rPr>
        <w:t>se a denúncia tivesse sido recebida na legislatura passada</w:t>
      </w:r>
      <w:r>
        <w:rPr>
          <w:color w:val="231F20"/>
          <w:sz w:val="24"/>
          <w:szCs w:val="24"/>
          <w:lang w:val="pt-BR"/>
        </w:rPr>
        <w:t xml:space="preserve">, o que não se verificou na presente análise. Ante o exposto, </w:t>
      </w:r>
      <w:r>
        <w:rPr>
          <w:b/>
          <w:bCs/>
          <w:color w:val="231F20"/>
          <w:sz w:val="24"/>
          <w:szCs w:val="24"/>
          <w:lang w:val="pt-BR"/>
        </w:rPr>
        <w:t>há plena legitimidade para a Assembleia Legislativa do Maranhão exercer sua prerrogativa constitucional e deliberar sobre a conveniência da sustação do processo</w:t>
      </w:r>
      <w:r>
        <w:rPr>
          <w:color w:val="231F20"/>
          <w:sz w:val="24"/>
          <w:szCs w:val="24"/>
          <w:lang w:val="pt-BR"/>
        </w:rPr>
        <w:t>, conforme exigido pelo PRTB.</w:t>
      </w:r>
    </w:p>
    <w:p w14:paraId="102B2AD9">
      <w:pPr>
        <w:spacing w:line="360" w:lineRule="auto"/>
        <w:jc w:val="both"/>
        <w:rPr>
          <w:rFonts w:ascii="Times New Roman" w:hAnsi="Times New Roman" w:cs="Times New Roman"/>
          <w:sz w:val="24"/>
          <w:szCs w:val="24"/>
        </w:rPr>
      </w:pPr>
    </w:p>
    <w:p w14:paraId="7E4014F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imunidade absoluta ou material</w:t>
      </w:r>
      <w:r>
        <w:rPr>
          <w:rFonts w:ascii="Times New Roman" w:hAnsi="Times New Roman" w:cs="Times New Roman"/>
          <w:sz w:val="24"/>
          <w:szCs w:val="24"/>
        </w:rPr>
        <w:t xml:space="preserve"> é uma prerrogativa conferida aos membros das Casas Legislativas, garantindo que não possam ser responsabilizados penalmente por quaisquer opiniões, palavras e votos proferidos no exercício do mandato parlamentar.</w:t>
      </w:r>
    </w:p>
    <w:p w14:paraId="658B613B">
      <w:pPr>
        <w:spacing w:line="360" w:lineRule="auto"/>
        <w:ind w:firstLine="708"/>
        <w:jc w:val="both"/>
        <w:rPr>
          <w:rFonts w:ascii="Times New Roman" w:hAnsi="Times New Roman" w:cs="Times New Roman"/>
          <w:b/>
          <w:bCs/>
          <w:sz w:val="24"/>
          <w:szCs w:val="24"/>
        </w:rPr>
      </w:pPr>
    </w:p>
    <w:p w14:paraId="1019A711">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Isto é, qualquer eventual conduta típica praticada por parlamentar, através de opiniões, palavras e votos proferidos durante o exercício do mandato, fica fora do alcance da responsabilidade penal. </w:t>
      </w:r>
    </w:p>
    <w:p w14:paraId="3D684DC6">
      <w:pPr>
        <w:spacing w:line="360" w:lineRule="auto"/>
        <w:jc w:val="both"/>
        <w:rPr>
          <w:rFonts w:ascii="Times New Roman" w:hAnsi="Times New Roman" w:cs="Times New Roman"/>
          <w:sz w:val="24"/>
          <w:szCs w:val="24"/>
        </w:rPr>
      </w:pPr>
    </w:p>
    <w:p w14:paraId="34DD5A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Ademais, a garantia da imunidade material não se restringe à proteção das atividades parlamentares durante o exercício do mandato ou em função deste, mas abrange as atividades políticas desenvolvidas pelo parlamentar. Comunga da mesma opinião o Ministro do Supremo Tribunal Federal, Nelson Jobim, ao afirmar, </w:t>
      </w:r>
      <w:r>
        <w:rPr>
          <w:rFonts w:ascii="Times New Roman" w:hAnsi="Times New Roman" w:cs="Times New Roman"/>
          <w:i/>
          <w:iCs/>
          <w:sz w:val="24"/>
          <w:szCs w:val="24"/>
        </w:rPr>
        <w:t>in verbis</w:t>
      </w:r>
      <w:r>
        <w:rPr>
          <w:rFonts w:ascii="Times New Roman" w:hAnsi="Times New Roman" w:cs="Times New Roman"/>
          <w:sz w:val="24"/>
          <w:szCs w:val="24"/>
        </w:rPr>
        <w:t>:</w:t>
      </w:r>
    </w:p>
    <w:p w14:paraId="47E11993">
      <w:pPr>
        <w:spacing w:line="240" w:lineRule="auto"/>
        <w:ind w:left="2268"/>
        <w:jc w:val="both"/>
        <w:rPr>
          <w:rFonts w:ascii="Times New Roman" w:hAnsi="Times New Roman" w:cs="Times New Roman"/>
          <w:sz w:val="24"/>
          <w:szCs w:val="24"/>
        </w:rPr>
      </w:pPr>
    </w:p>
    <w:p w14:paraId="2AF18CEB">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Entenda-se como exercício do mandato ou de suas funções, todas aquelas atividades vinculadas ao desempenho, pelo Parlamentar, de suas funções constitucionais. É o parlamentar, nessa perspectiva, um agente das funções para viabilizar a realização, pelo Parlamento, de suas funções</w:t>
      </w:r>
      <w:r>
        <w:rPr>
          <w:rFonts w:ascii="Times New Roman" w:hAnsi="Times New Roman" w:cs="Times New Roman"/>
          <w:sz w:val="20"/>
          <w:szCs w:val="20"/>
        </w:rPr>
        <w:t>. "</w:t>
      </w:r>
    </w:p>
    <w:p w14:paraId="0FB7E56C">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e, mais adiante,</w:t>
      </w:r>
    </w:p>
    <w:p w14:paraId="1CE90FBE">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A atividade política dos parlamentares abrange uma gama de funções e tarefas de natureza vária. É nos partidos, cuja responsabilidade é maior que a dos parlamentares, é nas eleições, é nos debates na mídia etc</w:t>
      </w:r>
      <w:r>
        <w:rPr>
          <w:rFonts w:ascii="Times New Roman" w:hAnsi="Times New Roman" w:cs="Times New Roman"/>
          <w:sz w:val="20"/>
          <w:szCs w:val="20"/>
        </w:rPr>
        <w:t>. " (</w:t>
      </w:r>
      <w:r>
        <w:rPr>
          <w:rFonts w:ascii="Times New Roman" w:hAnsi="Times New Roman" w:cs="Times New Roman"/>
          <w:i/>
          <w:iCs/>
          <w:sz w:val="20"/>
          <w:szCs w:val="20"/>
        </w:rPr>
        <w:t xml:space="preserve">In </w:t>
      </w:r>
      <w:r>
        <w:rPr>
          <w:rFonts w:ascii="Times New Roman" w:hAnsi="Times New Roman" w:cs="Times New Roman"/>
          <w:sz w:val="20"/>
          <w:szCs w:val="20"/>
        </w:rPr>
        <w:t xml:space="preserve">Imunidades Parlamentares, </w:t>
      </w:r>
      <w:r>
        <w:rPr>
          <w:rFonts w:ascii="Times New Roman" w:hAnsi="Times New Roman" w:cs="Times New Roman"/>
          <w:b/>
          <w:bCs/>
          <w:sz w:val="20"/>
          <w:szCs w:val="20"/>
        </w:rPr>
        <w:t>Jorge Kuranaka, Ed. Juarez de Oliveira</w:t>
      </w:r>
      <w:r>
        <w:rPr>
          <w:rFonts w:ascii="Times New Roman" w:hAnsi="Times New Roman" w:cs="Times New Roman"/>
          <w:sz w:val="20"/>
          <w:szCs w:val="20"/>
        </w:rPr>
        <w:t>, p.128)</w:t>
      </w:r>
    </w:p>
    <w:p w14:paraId="2D180796">
      <w:pPr>
        <w:spacing w:line="360" w:lineRule="auto"/>
        <w:ind w:firstLine="708"/>
        <w:jc w:val="both"/>
        <w:rPr>
          <w:rFonts w:ascii="Times New Roman" w:hAnsi="Times New Roman" w:cs="Times New Roman"/>
          <w:sz w:val="20"/>
          <w:szCs w:val="20"/>
        </w:rPr>
      </w:pPr>
    </w:p>
    <w:p w14:paraId="340DA5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Sendo assim, </w:t>
      </w:r>
      <w:r>
        <w:rPr>
          <w:rFonts w:ascii="Times New Roman" w:hAnsi="Times New Roman" w:cs="Times New Roman"/>
          <w:b/>
          <w:bCs/>
          <w:sz w:val="24"/>
          <w:szCs w:val="24"/>
        </w:rPr>
        <w:t>salientamos que esta CCJC precisará se manifestar se entende ou não que as postagens efetuadas pelo Deputado Dr. Yglésio, situam-se em um contexto de denúncia - e não no terreno pessoal</w:t>
      </w:r>
      <w:r>
        <w:rPr>
          <w:rFonts w:ascii="Times New Roman" w:hAnsi="Times New Roman" w:cs="Times New Roman"/>
          <w:sz w:val="24"/>
          <w:szCs w:val="24"/>
        </w:rPr>
        <w:t>, cujo objetivo tenha sido de despertar o interesse da população do Maranhão para supostas práticas ilícitas envolvendo um candidato ao posto de Defensor Público Geral do Estado.</w:t>
      </w:r>
    </w:p>
    <w:p w14:paraId="0F81CEE1">
      <w:pPr>
        <w:spacing w:line="360" w:lineRule="auto"/>
        <w:ind w:firstLine="708"/>
        <w:jc w:val="both"/>
        <w:rPr>
          <w:rFonts w:ascii="Times New Roman" w:hAnsi="Times New Roman" w:cs="Times New Roman"/>
          <w:sz w:val="24"/>
          <w:szCs w:val="24"/>
        </w:rPr>
      </w:pPr>
    </w:p>
    <w:p w14:paraId="0A9878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w:t>
      </w:r>
      <w:r>
        <w:rPr>
          <w:rFonts w:ascii="Times New Roman" w:hAnsi="Times New Roman" w:cs="Times New Roman"/>
          <w:b/>
          <w:bCs/>
          <w:sz w:val="24"/>
          <w:szCs w:val="24"/>
        </w:rPr>
        <w:t>esta Comissão concluirá se restou convencida ou não de que o acusado tenha se valido, a exemplo de qualquer outro detentor de cargo eletivo, do expediente legítimo de informar sua base eleitoral sobre supostos atos ilegais praticados por candidato ao mais alto cargo da Defensoria Pública Estadual</w:t>
      </w:r>
      <w:r>
        <w:rPr>
          <w:rFonts w:ascii="Times New Roman" w:hAnsi="Times New Roman" w:cs="Times New Roman"/>
          <w:sz w:val="24"/>
          <w:szCs w:val="24"/>
        </w:rPr>
        <w:t xml:space="preserve">. Uma vez que, neste caso, mais do que uma prerrogativa de candidato, constituiu </w:t>
      </w:r>
      <w:r>
        <w:rPr>
          <w:rFonts w:ascii="Times New Roman" w:hAnsi="Times New Roman" w:cs="Times New Roman"/>
          <w:b/>
          <w:bCs/>
          <w:sz w:val="24"/>
          <w:szCs w:val="24"/>
        </w:rPr>
        <w:t>um dever oriundo do próprio mandato</w:t>
      </w:r>
      <w:r>
        <w:rPr>
          <w:rFonts w:ascii="Times New Roman" w:hAnsi="Times New Roman" w:cs="Times New Roman"/>
          <w:sz w:val="24"/>
          <w:szCs w:val="24"/>
        </w:rPr>
        <w:t xml:space="preserve"> de Deputado Estadual outorgado pelos eleitores maranhenses.</w:t>
      </w:r>
    </w:p>
    <w:p w14:paraId="70A14538">
      <w:pPr>
        <w:pStyle w:val="10"/>
        <w:spacing w:line="360" w:lineRule="auto"/>
        <w:jc w:val="both"/>
        <w:rPr>
          <w:color w:val="231F20"/>
          <w:sz w:val="24"/>
          <w:szCs w:val="24"/>
        </w:rPr>
      </w:pPr>
    </w:p>
    <w:p w14:paraId="305439D0">
      <w:pPr>
        <w:pStyle w:val="10"/>
        <w:spacing w:line="360" w:lineRule="auto"/>
        <w:jc w:val="both"/>
        <w:rPr>
          <w:b/>
          <w:bCs/>
          <w:color w:val="231F20"/>
          <w:sz w:val="24"/>
          <w:szCs w:val="24"/>
          <w:u w:val="single"/>
        </w:rPr>
      </w:pPr>
      <w:r>
        <w:rPr>
          <w:b/>
          <w:bCs/>
          <w:color w:val="231F20"/>
          <w:sz w:val="24"/>
          <w:szCs w:val="24"/>
          <w:u w:val="single"/>
        </w:rPr>
        <w:t xml:space="preserve">VOTO DO RELATOR: </w:t>
      </w:r>
    </w:p>
    <w:p w14:paraId="6E581CB3">
      <w:pPr>
        <w:shd w:val="clear" w:color="auto" w:fill="FFFFFF"/>
        <w:spacing w:line="360" w:lineRule="auto"/>
        <w:ind w:firstLine="720"/>
        <w:jc w:val="both"/>
        <w:rPr>
          <w:rFonts w:ascii="Times New Roman" w:hAnsi="Times New Roman" w:eastAsia="Times New Roman" w:cs="Times New Roman"/>
          <w:sz w:val="24"/>
          <w:szCs w:val="24"/>
        </w:rPr>
      </w:pPr>
    </w:p>
    <w:p w14:paraId="42452B04">
      <w:pPr>
        <w:shd w:val="clear" w:color="auto" w:fill="FFFFFF"/>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Considerando</w:t>
      </w:r>
      <w:r>
        <w:rPr>
          <w:rFonts w:ascii="Times New Roman" w:hAnsi="Times New Roman" w:eastAsia="Times New Roman" w:cs="Times New Roman"/>
          <w:sz w:val="24"/>
          <w:szCs w:val="24"/>
        </w:rPr>
        <w:t xml:space="preserve"> as razões expostas e o fundamento na legislação aplicável, especialmente no </w:t>
      </w:r>
      <w:r>
        <w:rPr>
          <w:rFonts w:ascii="Times New Roman" w:hAnsi="Times New Roman" w:eastAsia="Times New Roman" w:cs="Times New Roman"/>
          <w:b/>
          <w:bCs/>
          <w:sz w:val="24"/>
          <w:szCs w:val="24"/>
        </w:rPr>
        <w:t>artigo 36, §3º, da Constituição Estadual do Maranhão</w:t>
      </w:r>
      <w:r>
        <w:rPr>
          <w:rFonts w:ascii="Times New Roman" w:hAnsi="Times New Roman" w:eastAsia="Times New Roman" w:cs="Times New Roman"/>
          <w:sz w:val="24"/>
          <w:szCs w:val="24"/>
        </w:rPr>
        <w:t>, que confere à Assembleia Legislativa competência para sustar o andamento da ação penal contra parlamentar, desde que a denúncia tenha sido recebida após sua diplomação, até a decisão final;</w:t>
      </w:r>
    </w:p>
    <w:p w14:paraId="4C90C8CD">
      <w:pPr>
        <w:shd w:val="clear" w:color="auto" w:fill="FFFFFF"/>
        <w:spacing w:line="360" w:lineRule="auto"/>
        <w:ind w:firstLine="720"/>
        <w:jc w:val="both"/>
        <w:rPr>
          <w:rFonts w:ascii="Times New Roman" w:hAnsi="Times New Roman" w:eastAsia="Times New Roman" w:cs="Times New Roman"/>
          <w:b/>
          <w:bCs/>
          <w:sz w:val="24"/>
          <w:szCs w:val="24"/>
        </w:rPr>
      </w:pPr>
    </w:p>
    <w:p w14:paraId="729012AA">
      <w:pPr>
        <w:shd w:val="clear" w:color="auto" w:fill="FFFFFF"/>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Considerando</w:t>
      </w:r>
      <w:r>
        <w:rPr>
          <w:rFonts w:ascii="Times New Roman" w:hAnsi="Times New Roman" w:eastAsia="Times New Roman" w:cs="Times New Roman"/>
          <w:sz w:val="24"/>
          <w:szCs w:val="24"/>
        </w:rPr>
        <w:t xml:space="preserve"> que a Constituição assegura a </w:t>
      </w:r>
      <w:r>
        <w:rPr>
          <w:rFonts w:ascii="Times New Roman" w:hAnsi="Times New Roman" w:eastAsia="Times New Roman" w:cs="Times New Roman"/>
          <w:b/>
          <w:bCs/>
          <w:sz w:val="24"/>
          <w:szCs w:val="24"/>
        </w:rPr>
        <w:t>imunidade material parlamentar</w:t>
      </w:r>
      <w:r>
        <w:rPr>
          <w:rFonts w:ascii="Times New Roman" w:hAnsi="Times New Roman" w:eastAsia="Times New Roman" w:cs="Times New Roman"/>
          <w:sz w:val="24"/>
          <w:szCs w:val="24"/>
        </w:rPr>
        <w:t xml:space="preserve">, garantindo aos deputados </w:t>
      </w:r>
      <w:r>
        <w:rPr>
          <w:rFonts w:ascii="Times New Roman" w:hAnsi="Times New Roman" w:eastAsia="Times New Roman" w:cs="Times New Roman"/>
          <w:b/>
          <w:bCs/>
          <w:sz w:val="24"/>
          <w:szCs w:val="24"/>
        </w:rPr>
        <w:t>proteção contra responsabilização penal por suas opiniões, palavras e votos proferidos no exercício do mandato</w:t>
      </w:r>
      <w:r>
        <w:rPr>
          <w:rFonts w:ascii="Times New Roman" w:hAnsi="Times New Roman" w:eastAsia="Times New Roman" w:cs="Times New Roman"/>
          <w:sz w:val="24"/>
          <w:szCs w:val="24"/>
        </w:rPr>
        <w:t xml:space="preserve">; </w:t>
      </w:r>
    </w:p>
    <w:p w14:paraId="4FB5D2CE">
      <w:pPr>
        <w:shd w:val="clear" w:color="auto" w:fill="FFFFFF"/>
        <w:spacing w:line="360" w:lineRule="auto"/>
        <w:ind w:firstLine="720"/>
        <w:jc w:val="both"/>
        <w:rPr>
          <w:rFonts w:ascii="Times New Roman" w:hAnsi="Times New Roman" w:eastAsia="Times New Roman" w:cs="Times New Roman"/>
          <w:b/>
          <w:bCs/>
          <w:sz w:val="24"/>
          <w:szCs w:val="24"/>
        </w:rPr>
      </w:pPr>
    </w:p>
    <w:p w14:paraId="1C28F846">
      <w:pPr>
        <w:shd w:val="clear" w:color="auto" w:fill="FFFFFF"/>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Considerando</w:t>
      </w:r>
      <w:r>
        <w:rPr>
          <w:rFonts w:ascii="Times New Roman" w:hAnsi="Times New Roman" w:eastAsia="Times New Roman" w:cs="Times New Roman"/>
          <w:sz w:val="24"/>
          <w:szCs w:val="24"/>
        </w:rPr>
        <w:t xml:space="preserve"> que a previsão constitucional de sustação de processos visa </w:t>
      </w:r>
      <w:r>
        <w:rPr>
          <w:rFonts w:ascii="Times New Roman" w:hAnsi="Times New Roman" w:eastAsia="Times New Roman" w:cs="Times New Roman"/>
          <w:b/>
          <w:bCs/>
          <w:sz w:val="24"/>
          <w:szCs w:val="24"/>
        </w:rPr>
        <w:t>proteger a autonomia e a independência do Poder Legislativo</w:t>
      </w:r>
      <w:r>
        <w:rPr>
          <w:rFonts w:ascii="Times New Roman" w:hAnsi="Times New Roman" w:eastAsia="Times New Roman" w:cs="Times New Roman"/>
          <w:sz w:val="24"/>
          <w:szCs w:val="24"/>
        </w:rPr>
        <w:t xml:space="preserve">, prevenindo </w:t>
      </w:r>
      <w:r>
        <w:rPr>
          <w:rFonts w:ascii="Times New Roman" w:hAnsi="Times New Roman" w:eastAsia="Times New Roman" w:cs="Times New Roman"/>
          <w:b/>
          <w:bCs/>
          <w:sz w:val="24"/>
          <w:szCs w:val="24"/>
        </w:rPr>
        <w:t>interferências indevidas do Poder Judiciário no livre exercício do mandato e na representatividade conferida pelo voto popular</w:t>
      </w:r>
      <w:r>
        <w:rPr>
          <w:rFonts w:ascii="Times New Roman" w:hAnsi="Times New Roman" w:eastAsia="Times New Roman" w:cs="Times New Roman"/>
          <w:sz w:val="24"/>
          <w:szCs w:val="24"/>
        </w:rPr>
        <w:t xml:space="preserve">, e que, no presente caso, a </w:t>
      </w:r>
      <w:r>
        <w:rPr>
          <w:rFonts w:ascii="Times New Roman" w:hAnsi="Times New Roman" w:eastAsia="Times New Roman" w:cs="Times New Roman"/>
          <w:b/>
          <w:bCs/>
          <w:sz w:val="24"/>
          <w:szCs w:val="24"/>
        </w:rPr>
        <w:t>continuidade da ação penal pode comprometer o desempenho parlamentar, contrariando o princípio da separação dos poderes e as garantias constitucionais dos representantes eleitos</w:t>
      </w:r>
      <w:r>
        <w:rPr>
          <w:rFonts w:ascii="Times New Roman" w:hAnsi="Times New Roman" w:eastAsia="Times New Roman" w:cs="Times New Roman"/>
          <w:sz w:val="24"/>
          <w:szCs w:val="24"/>
        </w:rPr>
        <w:t>;</w:t>
      </w:r>
    </w:p>
    <w:p w14:paraId="7906B2B4">
      <w:pPr>
        <w:shd w:val="clear" w:color="auto" w:fill="FFFFFF"/>
        <w:spacing w:line="360" w:lineRule="auto"/>
        <w:ind w:firstLine="720"/>
        <w:jc w:val="both"/>
        <w:rPr>
          <w:rFonts w:ascii="Times New Roman" w:hAnsi="Times New Roman" w:eastAsia="Times New Roman" w:cs="Times New Roman"/>
          <w:sz w:val="24"/>
          <w:szCs w:val="24"/>
        </w:rPr>
      </w:pPr>
    </w:p>
    <w:p w14:paraId="6AC95A49">
      <w:pPr>
        <w:shd w:val="clear" w:color="auto" w:fill="FFFFFF"/>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Diante do exposto, </w:t>
      </w:r>
      <w:r>
        <w:rPr>
          <w:rFonts w:ascii="Times New Roman" w:hAnsi="Times New Roman" w:eastAsia="Times New Roman" w:cs="Times New Roman"/>
          <w:b/>
          <w:bCs/>
          <w:sz w:val="24"/>
          <w:szCs w:val="24"/>
        </w:rPr>
        <w:t>manifesto-me favoravelmente à sustação do trâmite do Processo Penal nº 0009042–22.2020.8.100001</w:t>
      </w:r>
      <w:r>
        <w:rPr>
          <w:rFonts w:ascii="Times New Roman" w:hAnsi="Times New Roman" w:eastAsia="Times New Roman" w:cs="Times New Roman"/>
          <w:sz w:val="24"/>
          <w:szCs w:val="24"/>
        </w:rPr>
        <w:t xml:space="preserve">, movido contra o </w:t>
      </w:r>
      <w:r>
        <w:rPr>
          <w:rFonts w:ascii="Times New Roman" w:hAnsi="Times New Roman" w:eastAsia="Times New Roman" w:cs="Times New Roman"/>
          <w:b/>
          <w:bCs/>
          <w:sz w:val="24"/>
          <w:szCs w:val="24"/>
        </w:rPr>
        <w:t>Deputado Estadual Dr. Yglésio</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considerando que a denúncia foi recebida pelo Tribunal de Justiça do Maranhão em 31 de maio de 2023, já no decorrer da legislatura em curso - 20ª Legislatura (2023/2026)</w:t>
      </w:r>
      <w:r>
        <w:rPr>
          <w:rFonts w:ascii="Times New Roman" w:hAnsi="Times New Roman" w:eastAsia="Times New Roman" w:cs="Times New Roman"/>
          <w:sz w:val="24"/>
          <w:szCs w:val="24"/>
        </w:rPr>
        <w:t>.</w:t>
      </w:r>
    </w:p>
    <w:p w14:paraId="34F5EF55">
      <w:pPr>
        <w:shd w:val="clear" w:color="auto" w:fill="FFFFFF"/>
        <w:spacing w:line="360" w:lineRule="auto"/>
        <w:ind w:firstLine="720"/>
        <w:jc w:val="both"/>
        <w:rPr>
          <w:rFonts w:ascii="Times New Roman" w:hAnsi="Times New Roman" w:eastAsia="Times New Roman" w:cs="Times New Roman"/>
          <w:sz w:val="24"/>
          <w:szCs w:val="24"/>
        </w:rPr>
      </w:pPr>
    </w:p>
    <w:p w14:paraId="5AEBA6E2">
      <w:pPr>
        <w:pStyle w:val="10"/>
        <w:spacing w:line="360" w:lineRule="auto"/>
        <w:jc w:val="both"/>
        <w:rPr>
          <w:b/>
          <w:bCs/>
          <w:color w:val="231F20"/>
          <w:sz w:val="24"/>
          <w:szCs w:val="24"/>
          <w:u w:val="single"/>
        </w:rPr>
      </w:pPr>
      <w:r>
        <w:rPr>
          <w:b/>
          <w:bCs/>
          <w:color w:val="231F20"/>
          <w:sz w:val="24"/>
          <w:szCs w:val="24"/>
          <w:u w:val="single"/>
        </w:rPr>
        <w:t>ENCAMINHAMENTO:</w:t>
      </w:r>
    </w:p>
    <w:p w14:paraId="20AD42D0">
      <w:pPr>
        <w:pStyle w:val="10"/>
        <w:spacing w:line="360" w:lineRule="auto"/>
        <w:jc w:val="both"/>
        <w:rPr>
          <w:color w:val="231F20"/>
          <w:sz w:val="24"/>
          <w:szCs w:val="24"/>
        </w:rPr>
      </w:pPr>
    </w:p>
    <w:p w14:paraId="0622E1BF">
      <w:pPr>
        <w:pStyle w:val="10"/>
        <w:spacing w:line="360" w:lineRule="auto"/>
        <w:ind w:firstLine="709"/>
        <w:jc w:val="both"/>
        <w:rPr>
          <w:color w:val="231F20"/>
          <w:sz w:val="24"/>
          <w:szCs w:val="24"/>
        </w:rPr>
      </w:pPr>
      <w:r>
        <w:rPr>
          <w:color w:val="231F20"/>
          <w:sz w:val="24"/>
          <w:szCs w:val="24"/>
        </w:rPr>
        <w:t>Caso a CCJC conclua pela sustação, terá  razão para  propor à apreciação dos nobres pares o seguinte:</w:t>
      </w:r>
    </w:p>
    <w:p w14:paraId="72E4ECC5">
      <w:pPr>
        <w:tabs>
          <w:tab w:val="left" w:pos="5820"/>
        </w:tabs>
        <w:spacing w:line="360" w:lineRule="auto"/>
        <w:rPr>
          <w:rFonts w:ascii="Times New Roman" w:hAnsi="Times New Roman" w:cs="Times New Roman"/>
          <w:color w:val="231F20"/>
          <w:sz w:val="24"/>
          <w:szCs w:val="24"/>
        </w:rPr>
      </w:pPr>
    </w:p>
    <w:p w14:paraId="1CE5286A">
      <w:pPr>
        <w:tabs>
          <w:tab w:val="left" w:pos="5820"/>
        </w:tabs>
        <w:spacing w:line="360" w:lineRule="auto"/>
        <w:jc w:val="center"/>
        <w:rPr>
          <w:rFonts w:ascii="Times New Roman" w:hAnsi="Times New Roman" w:cs="Times New Roman"/>
          <w:b/>
          <w:sz w:val="24"/>
          <w:szCs w:val="24"/>
        </w:rPr>
      </w:pPr>
      <w:r>
        <w:rPr>
          <w:rFonts w:ascii="Times New Roman" w:hAnsi="Times New Roman" w:cs="Times New Roman"/>
          <w:color w:val="231F20"/>
          <w:sz w:val="24"/>
          <w:szCs w:val="24"/>
        </w:rPr>
        <w:t>“</w:t>
      </w:r>
      <w:r>
        <w:rPr>
          <w:rFonts w:ascii="Times New Roman" w:hAnsi="Times New Roman" w:cs="Times New Roman"/>
          <w:b/>
          <w:color w:val="231F20"/>
          <w:sz w:val="24"/>
          <w:szCs w:val="24"/>
        </w:rPr>
        <w:t>PROJETO</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DE</w:t>
      </w:r>
      <w:r>
        <w:rPr>
          <w:rFonts w:ascii="Times New Roman" w:hAnsi="Times New Roman" w:cs="Times New Roman"/>
          <w:b/>
          <w:color w:val="231F20"/>
          <w:spacing w:val="-9"/>
          <w:sz w:val="24"/>
          <w:szCs w:val="24"/>
        </w:rPr>
        <w:t xml:space="preserve"> </w:t>
      </w:r>
      <w:r>
        <w:rPr>
          <w:rFonts w:ascii="Times New Roman" w:hAnsi="Times New Roman" w:cs="Times New Roman"/>
          <w:b/>
          <w:color w:val="231F20"/>
          <w:sz w:val="24"/>
          <w:szCs w:val="24"/>
        </w:rPr>
        <w:t xml:space="preserve">RESOLUÇÃO LEGISLATIVA </w:t>
      </w:r>
      <w:r>
        <w:rPr>
          <w:rFonts w:ascii="Times New Roman" w:hAnsi="Times New Roman" w:cs="Times New Roman"/>
          <w:b/>
          <w:color w:val="231F20"/>
          <w:spacing w:val="-8"/>
          <w:sz w:val="24"/>
          <w:szCs w:val="24"/>
        </w:rPr>
        <w:t>Nº</w:t>
      </w:r>
      <w:r>
        <w:rPr>
          <w:rFonts w:ascii="Times New Roman" w:hAnsi="Times New Roman" w:cs="Times New Roman"/>
          <w:b/>
          <w:color w:val="231F20"/>
          <w:sz w:val="24"/>
          <w:szCs w:val="24"/>
        </w:rPr>
        <w:t xml:space="preserve"> 23/2025</w:t>
      </w:r>
    </w:p>
    <w:p w14:paraId="464CA5F7">
      <w:pPr>
        <w:spacing w:line="360" w:lineRule="auto"/>
        <w:ind w:left="3969"/>
        <w:jc w:val="both"/>
        <w:rPr>
          <w:rFonts w:ascii="Times New Roman" w:hAnsi="Times New Roman" w:cs="Times New Roman"/>
          <w:i/>
          <w:color w:val="231F20"/>
          <w:sz w:val="20"/>
          <w:szCs w:val="20"/>
        </w:rPr>
      </w:pPr>
    </w:p>
    <w:p w14:paraId="6A71AF58">
      <w:pPr>
        <w:spacing w:line="360" w:lineRule="auto"/>
        <w:ind w:left="3969"/>
        <w:jc w:val="both"/>
        <w:rPr>
          <w:rFonts w:ascii="Times New Roman" w:hAnsi="Times New Roman" w:cs="Times New Roman"/>
          <w:i/>
          <w:color w:val="231F20"/>
          <w:sz w:val="20"/>
          <w:szCs w:val="20"/>
        </w:rPr>
      </w:pPr>
      <w:r>
        <w:rPr>
          <w:rFonts w:ascii="Times New Roman" w:hAnsi="Times New Roman" w:cs="Times New Roman"/>
          <w:i/>
          <w:color w:val="231F20"/>
          <w:sz w:val="20"/>
          <w:szCs w:val="20"/>
        </w:rPr>
        <w:t>Dispõe</w:t>
      </w:r>
      <w:r>
        <w:rPr>
          <w:rFonts w:ascii="Times New Roman" w:hAnsi="Times New Roman" w:cs="Times New Roman"/>
          <w:i/>
          <w:color w:val="231F20"/>
          <w:spacing w:val="-13"/>
          <w:sz w:val="20"/>
          <w:szCs w:val="20"/>
        </w:rPr>
        <w:t xml:space="preserve"> </w:t>
      </w:r>
      <w:r>
        <w:rPr>
          <w:rFonts w:ascii="Times New Roman" w:hAnsi="Times New Roman" w:cs="Times New Roman"/>
          <w:i/>
          <w:color w:val="231F20"/>
          <w:sz w:val="20"/>
          <w:szCs w:val="20"/>
        </w:rPr>
        <w:t>sobre</w:t>
      </w:r>
      <w:r>
        <w:rPr>
          <w:rFonts w:ascii="Times New Roman" w:hAnsi="Times New Roman" w:cs="Times New Roman"/>
          <w:i/>
          <w:color w:val="231F20"/>
          <w:spacing w:val="-12"/>
          <w:sz w:val="20"/>
          <w:szCs w:val="20"/>
        </w:rPr>
        <w:t xml:space="preserve"> </w:t>
      </w:r>
      <w:r>
        <w:rPr>
          <w:rFonts w:ascii="Times New Roman" w:hAnsi="Times New Roman" w:cs="Times New Roman"/>
          <w:i/>
          <w:color w:val="231F20"/>
          <w:sz w:val="20"/>
          <w:szCs w:val="20"/>
        </w:rPr>
        <w:t>a</w:t>
      </w:r>
      <w:r>
        <w:rPr>
          <w:rFonts w:ascii="Times New Roman" w:hAnsi="Times New Roman" w:cs="Times New Roman"/>
          <w:i/>
          <w:color w:val="231F20"/>
          <w:spacing w:val="-13"/>
          <w:sz w:val="20"/>
          <w:szCs w:val="20"/>
        </w:rPr>
        <w:t xml:space="preserve"> </w:t>
      </w:r>
      <w:r>
        <w:rPr>
          <w:rFonts w:ascii="Times New Roman" w:hAnsi="Times New Roman" w:cs="Times New Roman"/>
          <w:i/>
          <w:color w:val="231F20"/>
          <w:sz w:val="20"/>
          <w:szCs w:val="20"/>
        </w:rPr>
        <w:t>sustação</w:t>
      </w:r>
      <w:r>
        <w:rPr>
          <w:rFonts w:ascii="Times New Roman" w:hAnsi="Times New Roman" w:cs="Times New Roman"/>
          <w:i/>
          <w:color w:val="231F20"/>
          <w:spacing w:val="-12"/>
          <w:sz w:val="20"/>
          <w:szCs w:val="20"/>
        </w:rPr>
        <w:t xml:space="preserve"> </w:t>
      </w:r>
      <w:r>
        <w:rPr>
          <w:rFonts w:ascii="Times New Roman" w:hAnsi="Times New Roman" w:cs="Times New Roman"/>
          <w:i/>
          <w:color w:val="231F20"/>
          <w:sz w:val="20"/>
          <w:szCs w:val="20"/>
        </w:rPr>
        <w:t>de</w:t>
      </w:r>
      <w:r>
        <w:rPr>
          <w:rFonts w:ascii="Times New Roman" w:hAnsi="Times New Roman" w:cs="Times New Roman"/>
          <w:i/>
          <w:color w:val="231F20"/>
          <w:spacing w:val="-13"/>
          <w:sz w:val="20"/>
          <w:szCs w:val="20"/>
        </w:rPr>
        <w:t xml:space="preserve"> </w:t>
      </w:r>
      <w:r>
        <w:rPr>
          <w:rFonts w:ascii="Times New Roman" w:hAnsi="Times New Roman" w:cs="Times New Roman"/>
          <w:i/>
          <w:color w:val="231F20"/>
          <w:sz w:val="20"/>
          <w:szCs w:val="20"/>
        </w:rPr>
        <w:t>processo</w:t>
      </w:r>
      <w:r>
        <w:rPr>
          <w:rFonts w:ascii="Times New Roman" w:hAnsi="Times New Roman" w:cs="Times New Roman"/>
          <w:i/>
          <w:color w:val="231F20"/>
          <w:spacing w:val="-12"/>
          <w:sz w:val="20"/>
          <w:szCs w:val="20"/>
        </w:rPr>
        <w:t xml:space="preserve"> </w:t>
      </w:r>
      <w:r>
        <w:rPr>
          <w:rFonts w:ascii="Times New Roman" w:hAnsi="Times New Roman" w:cs="Times New Roman"/>
          <w:i/>
          <w:color w:val="231F20"/>
          <w:sz w:val="20"/>
          <w:szCs w:val="20"/>
        </w:rPr>
        <w:t>criminal</w:t>
      </w:r>
      <w:r>
        <w:rPr>
          <w:rFonts w:ascii="Times New Roman" w:hAnsi="Times New Roman" w:cs="Times New Roman"/>
          <w:i/>
          <w:color w:val="231F20"/>
          <w:spacing w:val="-13"/>
          <w:sz w:val="20"/>
          <w:szCs w:val="20"/>
        </w:rPr>
        <w:t xml:space="preserve"> </w:t>
      </w:r>
      <w:r>
        <w:rPr>
          <w:rFonts w:ascii="Times New Roman" w:hAnsi="Times New Roman" w:cs="Times New Roman"/>
          <w:i/>
          <w:color w:val="231F20"/>
          <w:sz w:val="20"/>
          <w:szCs w:val="20"/>
        </w:rPr>
        <w:t>movido em face de Deputado, nos termos dos §§ 3º e 4º do artigo 36 da Constituição do Estado.</w:t>
      </w:r>
    </w:p>
    <w:p w14:paraId="479B9B4C">
      <w:pPr>
        <w:spacing w:line="360" w:lineRule="auto"/>
        <w:ind w:left="3402"/>
        <w:jc w:val="both"/>
        <w:rPr>
          <w:rFonts w:ascii="Times New Roman" w:hAnsi="Times New Roman" w:cs="Times New Roman"/>
          <w:i/>
          <w:sz w:val="24"/>
          <w:szCs w:val="24"/>
        </w:rPr>
      </w:pPr>
    </w:p>
    <w:p w14:paraId="3310D58B">
      <w:pPr>
        <w:pStyle w:val="10"/>
        <w:spacing w:line="360" w:lineRule="auto"/>
        <w:ind w:left="567" w:firstLine="426"/>
        <w:jc w:val="both"/>
        <w:rPr>
          <w:i/>
          <w:iCs/>
          <w:sz w:val="24"/>
          <w:szCs w:val="24"/>
        </w:rPr>
      </w:pPr>
      <w:r>
        <w:rPr>
          <w:b/>
          <w:i/>
          <w:iCs/>
          <w:color w:val="231F20"/>
          <w:sz w:val="24"/>
          <w:szCs w:val="24"/>
        </w:rPr>
        <w:t xml:space="preserve">Art. 1º – </w:t>
      </w:r>
      <w:r>
        <w:rPr>
          <w:i/>
          <w:iCs/>
          <w:color w:val="231F20"/>
          <w:sz w:val="24"/>
          <w:szCs w:val="24"/>
        </w:rPr>
        <w:t xml:space="preserve">Fica sustado o Processo nº </w:t>
      </w:r>
      <w:r>
        <w:rPr>
          <w:i/>
          <w:iCs/>
          <w:sz w:val="24"/>
          <w:szCs w:val="24"/>
        </w:rPr>
        <w:t>0009042 – 22. 2020.8.10.0001</w:t>
      </w:r>
      <w:r>
        <w:rPr>
          <w:i/>
          <w:iCs/>
          <w:color w:val="231F20"/>
          <w:sz w:val="24"/>
          <w:szCs w:val="24"/>
        </w:rPr>
        <w:t xml:space="preserve">, movido por </w:t>
      </w:r>
      <w:r>
        <w:rPr>
          <w:i/>
          <w:iCs/>
          <w:sz w:val="24"/>
          <w:szCs w:val="24"/>
        </w:rPr>
        <w:t>Murilo Carvalho Pereira Guazzelli</w:t>
      </w:r>
      <w:r>
        <w:rPr>
          <w:i/>
          <w:iCs/>
          <w:color w:val="231F20"/>
          <w:sz w:val="24"/>
          <w:szCs w:val="24"/>
        </w:rPr>
        <w:t xml:space="preserve"> em face do Deputado Estadual Dr. Yglésio, que tramita perante o Tribunal de Justiça do Estado do Maranhão.</w:t>
      </w:r>
    </w:p>
    <w:p w14:paraId="27DD079F">
      <w:pPr>
        <w:pStyle w:val="10"/>
        <w:spacing w:line="360" w:lineRule="auto"/>
        <w:ind w:left="567" w:firstLine="426"/>
        <w:rPr>
          <w:i/>
          <w:iCs/>
          <w:sz w:val="24"/>
          <w:szCs w:val="24"/>
        </w:rPr>
      </w:pPr>
    </w:p>
    <w:p w14:paraId="657A153C">
      <w:pPr>
        <w:pStyle w:val="10"/>
        <w:spacing w:line="360" w:lineRule="auto"/>
        <w:ind w:left="567" w:firstLine="426"/>
        <w:jc w:val="both"/>
        <w:rPr>
          <w:i/>
          <w:iCs/>
          <w:sz w:val="24"/>
          <w:szCs w:val="24"/>
        </w:rPr>
      </w:pPr>
      <w:r>
        <w:rPr>
          <w:b/>
          <w:i/>
          <w:iCs/>
          <w:color w:val="231F20"/>
          <w:sz w:val="24"/>
          <w:szCs w:val="24"/>
        </w:rPr>
        <w:t xml:space="preserve">Art. 2º – </w:t>
      </w:r>
      <w:r>
        <w:rPr>
          <w:i/>
          <w:iCs/>
          <w:color w:val="231F20"/>
          <w:sz w:val="24"/>
          <w:szCs w:val="24"/>
        </w:rPr>
        <w:t>Expeça-se ofício ao Egrégio</w:t>
      </w:r>
      <w:r>
        <w:rPr>
          <w:i/>
          <w:iCs/>
          <w:color w:val="231F20"/>
          <w:spacing w:val="-3"/>
          <w:sz w:val="24"/>
          <w:szCs w:val="24"/>
        </w:rPr>
        <w:t xml:space="preserve"> </w:t>
      </w:r>
      <w:r>
        <w:rPr>
          <w:i/>
          <w:iCs/>
          <w:color w:val="231F20"/>
          <w:sz w:val="24"/>
          <w:szCs w:val="24"/>
        </w:rPr>
        <w:t>Tribunal de Justiça do Estado do Maranhão.</w:t>
      </w:r>
    </w:p>
    <w:p w14:paraId="178D7AA9">
      <w:pPr>
        <w:pStyle w:val="10"/>
        <w:spacing w:line="360" w:lineRule="auto"/>
        <w:ind w:left="567" w:firstLine="426"/>
        <w:rPr>
          <w:i/>
          <w:iCs/>
          <w:sz w:val="24"/>
          <w:szCs w:val="24"/>
        </w:rPr>
      </w:pPr>
    </w:p>
    <w:p w14:paraId="29A77366">
      <w:pPr>
        <w:pStyle w:val="10"/>
        <w:spacing w:line="360" w:lineRule="auto"/>
        <w:ind w:left="567" w:firstLine="426"/>
        <w:jc w:val="both"/>
        <w:rPr>
          <w:i/>
          <w:iCs/>
          <w:sz w:val="24"/>
          <w:szCs w:val="24"/>
        </w:rPr>
      </w:pPr>
      <w:r>
        <w:rPr>
          <w:b/>
          <w:i/>
          <w:iCs/>
          <w:color w:val="231F20"/>
          <w:sz w:val="24"/>
          <w:szCs w:val="24"/>
        </w:rPr>
        <w:t xml:space="preserve">Art. 3º – </w:t>
      </w:r>
      <w:r>
        <w:rPr>
          <w:i/>
          <w:iCs/>
          <w:color w:val="231F20"/>
          <w:sz w:val="24"/>
          <w:szCs w:val="24"/>
        </w:rPr>
        <w:t xml:space="preserve">Esta resolução entra em vigor na data de sua </w:t>
      </w:r>
      <w:r>
        <w:rPr>
          <w:i/>
          <w:iCs/>
          <w:color w:val="231F20"/>
          <w:spacing w:val="-2"/>
          <w:sz w:val="24"/>
          <w:szCs w:val="24"/>
        </w:rPr>
        <w:t>publicação.”</w:t>
      </w:r>
    </w:p>
    <w:p w14:paraId="1802C6E8">
      <w:pPr>
        <w:pStyle w:val="10"/>
        <w:spacing w:line="360" w:lineRule="auto"/>
        <w:ind w:firstLine="709"/>
        <w:rPr>
          <w:sz w:val="24"/>
          <w:szCs w:val="24"/>
        </w:rPr>
      </w:pPr>
    </w:p>
    <w:p w14:paraId="17B41075">
      <w:pPr>
        <w:pStyle w:val="10"/>
        <w:spacing w:line="360" w:lineRule="auto"/>
        <w:ind w:firstLine="709"/>
        <w:jc w:val="both"/>
        <w:rPr>
          <w:color w:val="231F20"/>
          <w:spacing w:val="-2"/>
          <w:sz w:val="24"/>
          <w:szCs w:val="24"/>
        </w:rPr>
      </w:pPr>
      <w:r>
        <w:rPr>
          <w:color w:val="231F20"/>
          <w:spacing w:val="-2"/>
          <w:sz w:val="24"/>
          <w:szCs w:val="24"/>
        </w:rPr>
        <w:t>É o voto.</w:t>
      </w:r>
    </w:p>
    <w:p w14:paraId="69DAEFAC">
      <w:pPr>
        <w:pStyle w:val="10"/>
        <w:spacing w:line="360" w:lineRule="auto"/>
        <w:ind w:firstLine="709"/>
        <w:jc w:val="both"/>
        <w:rPr>
          <w:color w:val="231F20"/>
          <w:spacing w:val="-2"/>
          <w:sz w:val="24"/>
          <w:szCs w:val="24"/>
        </w:rPr>
      </w:pPr>
    </w:p>
    <w:p w14:paraId="0A7CDB31">
      <w:pPr>
        <w:pStyle w:val="10"/>
        <w:spacing w:line="360" w:lineRule="auto"/>
        <w:jc w:val="both"/>
        <w:rPr>
          <w:sz w:val="24"/>
          <w:szCs w:val="24"/>
        </w:rPr>
      </w:pPr>
      <w:r>
        <w:rPr>
          <w:b/>
          <w:sz w:val="24"/>
          <w:szCs w:val="24"/>
          <w:u w:val="single"/>
        </w:rPr>
        <w:t>PARECER DA COMISSÃO</w:t>
      </w:r>
      <w:r>
        <w:rPr>
          <w:b/>
          <w:sz w:val="24"/>
          <w:szCs w:val="24"/>
        </w:rPr>
        <w:t>:</w:t>
      </w:r>
    </w:p>
    <w:p w14:paraId="10F5C6B3">
      <w:pPr>
        <w:pStyle w:val="10"/>
        <w:spacing w:line="360" w:lineRule="auto"/>
        <w:ind w:firstLine="709"/>
        <w:jc w:val="both"/>
        <w:rPr>
          <w:sz w:val="24"/>
          <w:szCs w:val="24"/>
        </w:rPr>
      </w:pPr>
    </w:p>
    <w:p w14:paraId="4296B53B">
      <w:pPr>
        <w:pStyle w:val="10"/>
        <w:spacing w:line="360" w:lineRule="auto"/>
        <w:ind w:firstLine="709"/>
        <w:jc w:val="both"/>
        <w:rPr>
          <w:sz w:val="24"/>
          <w:szCs w:val="24"/>
        </w:rPr>
      </w:pPr>
      <w:r>
        <w:rPr>
          <w:sz w:val="24"/>
          <w:szCs w:val="24"/>
        </w:rPr>
        <w:t>Os membros da Comissão  de Constituição, Justiça e Cidadania</w:t>
      </w:r>
      <w:r>
        <w:rPr>
          <w:b/>
          <w:sz w:val="24"/>
          <w:szCs w:val="24"/>
        </w:rPr>
        <w:t xml:space="preserve"> votam pela sustação </w:t>
      </w:r>
      <w:r>
        <w:rPr>
          <w:bCs/>
          <w:sz w:val="24"/>
          <w:szCs w:val="24"/>
        </w:rPr>
        <w:t>d</w:t>
      </w:r>
      <w:r>
        <w:rPr>
          <w:color w:val="231F20"/>
          <w:sz w:val="24"/>
          <w:szCs w:val="24"/>
        </w:rPr>
        <w:t xml:space="preserve">o Processo nº </w:t>
      </w:r>
      <w:r>
        <w:rPr>
          <w:sz w:val="24"/>
          <w:szCs w:val="24"/>
        </w:rPr>
        <w:t>0009042 – 22. 2020.8.10.0001</w:t>
      </w:r>
      <w:r>
        <w:rPr>
          <w:color w:val="231F20"/>
          <w:sz w:val="24"/>
          <w:szCs w:val="24"/>
        </w:rPr>
        <w:t xml:space="preserve">, movido por </w:t>
      </w:r>
      <w:r>
        <w:rPr>
          <w:sz w:val="24"/>
          <w:szCs w:val="24"/>
        </w:rPr>
        <w:t>Murilo Carvalho Pereira Guazzelli</w:t>
      </w:r>
      <w:r>
        <w:rPr>
          <w:color w:val="231F20"/>
          <w:sz w:val="24"/>
          <w:szCs w:val="24"/>
        </w:rPr>
        <w:t xml:space="preserve"> em face do Deputado Estadual Dr. Yglésio, que tramita perante o Tribunal de Justiça do Estado do Maranhão, nos termos do voto do Relator.</w:t>
      </w:r>
    </w:p>
    <w:p w14:paraId="3CBB0ADD">
      <w:pPr>
        <w:spacing w:before="240" w:after="240" w:line="36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É o parecer.</w:t>
      </w:r>
    </w:p>
    <w:p w14:paraId="47192315">
      <w:pPr>
        <w:spacing w:before="240" w:after="2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SALA DAS COMISSÕES DEPUTADO “LÉO FRANKLIM”, em 18 de março de 2025.  </w:t>
      </w:r>
    </w:p>
    <w:p w14:paraId="2A63B44C">
      <w:pPr>
        <w:spacing w:before="240" w:after="240" w:line="360" w:lineRule="auto"/>
        <w:ind w:firstLine="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Presidente: ____________________________</w:t>
      </w:r>
    </w:p>
    <w:p w14:paraId="4E088F04">
      <w:pPr>
        <w:spacing w:before="240" w:after="200"/>
        <w:ind w:left="28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Relator: _______________________________</w:t>
      </w:r>
    </w:p>
    <w:p w14:paraId="39636A44">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35F07611">
      <w:pPr>
        <w:spacing w:before="240" w:after="200"/>
        <w:ind w:left="28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Voto a favor:                                                             Voto contra:</w:t>
      </w:r>
    </w:p>
    <w:p w14:paraId="64EE28F7">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___________________________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______________________________</w:t>
      </w:r>
    </w:p>
    <w:p w14:paraId="1FA66DD0">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                             ______________________________</w:t>
      </w:r>
    </w:p>
    <w:p w14:paraId="4ECF957C">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                             ______________________________</w:t>
      </w:r>
    </w:p>
    <w:p w14:paraId="2AC8BD61">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                             ______________________________</w:t>
      </w:r>
    </w:p>
    <w:p w14:paraId="7215ED81">
      <w:pPr>
        <w:spacing w:before="240" w:after="200"/>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                             ______________________________</w:t>
      </w:r>
    </w:p>
    <w:p w14:paraId="6A8C7DF3">
      <w:pPr>
        <w:spacing w:before="240" w:after="200"/>
        <w:ind w:left="280"/>
        <w:jc w:val="both"/>
        <w:rPr>
          <w:rFonts w:ascii="Times New Roman" w:hAnsi="Times New Roman" w:eastAsia="Times New Roman" w:cs="Times New Roman"/>
          <w:sz w:val="24"/>
          <w:szCs w:val="24"/>
        </w:rPr>
      </w:pPr>
    </w:p>
    <w:sectPr>
      <w:headerReference r:id="rId5" w:type="default"/>
      <w:pgSz w:w="11909" w:h="16834"/>
      <w:pgMar w:top="425"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83E67">
    <w:pPr>
      <w:spacing w:line="240" w:lineRule="auto"/>
      <w:jc w:val="center"/>
      <w:rPr>
        <w:rFonts w:ascii="Times New Roman" w:hAnsi="Times New Roman" w:eastAsia="Times New Roman" w:cs="Times New Roman"/>
        <w:sz w:val="20"/>
        <w:szCs w:val="20"/>
      </w:rPr>
    </w:pPr>
    <w:r>
      <w:drawing>
        <wp:anchor distT="114300" distB="114300" distL="114300" distR="114300" simplePos="0" relativeHeight="251659264" behindDoc="1" locked="0" layoutInCell="1" allowOverlap="1">
          <wp:simplePos x="0" y="0"/>
          <wp:positionH relativeFrom="column">
            <wp:posOffset>2336800</wp:posOffset>
          </wp:positionH>
          <wp:positionV relativeFrom="paragraph">
            <wp:posOffset>-294640</wp:posOffset>
          </wp:positionV>
          <wp:extent cx="1058545" cy="915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058700" cy="915263"/>
                  </a:xfrm>
                  <a:prstGeom prst="rect">
                    <a:avLst/>
                  </a:prstGeom>
                </pic:spPr>
              </pic:pic>
            </a:graphicData>
          </a:graphic>
        </wp:anchor>
      </w:drawing>
    </w:r>
  </w:p>
  <w:p w14:paraId="6BBEBF5F">
    <w:pPr>
      <w:spacing w:line="240" w:lineRule="auto"/>
      <w:jc w:val="center"/>
      <w:rPr>
        <w:rFonts w:ascii="Times New Roman" w:hAnsi="Times New Roman" w:eastAsia="Times New Roman" w:cs="Times New Roman"/>
        <w:sz w:val="20"/>
        <w:szCs w:val="20"/>
      </w:rPr>
    </w:pPr>
  </w:p>
  <w:p w14:paraId="0FC08412">
    <w:pPr>
      <w:spacing w:line="240" w:lineRule="auto"/>
      <w:jc w:val="center"/>
      <w:rPr>
        <w:rFonts w:ascii="Times New Roman" w:hAnsi="Times New Roman" w:eastAsia="Times New Roman" w:cs="Times New Roman"/>
        <w:sz w:val="20"/>
        <w:szCs w:val="20"/>
      </w:rPr>
    </w:pPr>
  </w:p>
  <w:p w14:paraId="67975105">
    <w:pPr>
      <w:spacing w:line="240" w:lineRule="auto"/>
      <w:jc w:val="center"/>
      <w:rPr>
        <w:rFonts w:ascii="Times New Roman" w:hAnsi="Times New Roman" w:eastAsia="Times New Roman" w:cs="Times New Roman"/>
        <w:sz w:val="20"/>
        <w:szCs w:val="20"/>
      </w:rPr>
    </w:pPr>
  </w:p>
  <w:p w14:paraId="330C2CA5">
    <w:pPr>
      <w:spacing w:line="240" w:lineRule="auto"/>
      <w:jc w:val="center"/>
      <w:rPr>
        <w:rFonts w:ascii="Times New Roman" w:hAnsi="Times New Roman" w:eastAsia="Times New Roman" w:cs="Times New Roman"/>
        <w:sz w:val="20"/>
        <w:szCs w:val="20"/>
      </w:rPr>
    </w:pPr>
  </w:p>
  <w:p w14:paraId="75198B22">
    <w:pPr>
      <w:spacing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ESTADO DO MARANHÃO</w:t>
    </w:r>
  </w:p>
  <w:p w14:paraId="6FFB8558">
    <w:pPr>
      <w:spacing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ASSEMBLEIA LEGISLATIVA DO MARANHÃO</w:t>
    </w:r>
  </w:p>
  <w:p w14:paraId="1F3773B0">
    <w:pPr>
      <w:spacing w:line="240" w:lineRule="auto"/>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INSTALADA EM 16 DE FEVEREIRO DE 1835</w:t>
    </w:r>
  </w:p>
  <w:p w14:paraId="2D5DDE03">
    <w:pPr>
      <w:spacing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DIRETORIA LEGISLATIVA</w:t>
    </w:r>
  </w:p>
  <w:p w14:paraId="31D51D19">
    <w:pP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045B9"/>
    <w:multiLevelType w:val="multilevel"/>
    <w:tmpl w:val="675045B9"/>
    <w:lvl w:ilvl="0" w:tentative="0">
      <w:start w:val="1"/>
      <w:numFmt w:val="decimal"/>
      <w:lvlText w:val="%1."/>
      <w:lvlJc w:val="left"/>
      <w:pPr>
        <w:ind w:left="720" w:hanging="360"/>
      </w:pPr>
      <w:rPr>
        <w:rFonts w:hint="default" w:ascii="Times New Roman" w:hAnsi="Times New Roman" w:cs="Times New Roman"/>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93"/>
    <w:rsid w:val="00030B93"/>
    <w:rsid w:val="000433CA"/>
    <w:rsid w:val="00051EFB"/>
    <w:rsid w:val="000D07F9"/>
    <w:rsid w:val="00155BAD"/>
    <w:rsid w:val="00180921"/>
    <w:rsid w:val="001863EC"/>
    <w:rsid w:val="00191019"/>
    <w:rsid w:val="00206AD1"/>
    <w:rsid w:val="00317012"/>
    <w:rsid w:val="00332A1F"/>
    <w:rsid w:val="0036383D"/>
    <w:rsid w:val="003F008F"/>
    <w:rsid w:val="004F5E3F"/>
    <w:rsid w:val="00580A93"/>
    <w:rsid w:val="005C04A5"/>
    <w:rsid w:val="005E4B76"/>
    <w:rsid w:val="00667C15"/>
    <w:rsid w:val="006824CE"/>
    <w:rsid w:val="008F003F"/>
    <w:rsid w:val="00941808"/>
    <w:rsid w:val="009744E5"/>
    <w:rsid w:val="009D1D06"/>
    <w:rsid w:val="00A01B60"/>
    <w:rsid w:val="00A3303A"/>
    <w:rsid w:val="00A60C02"/>
    <w:rsid w:val="00BF0895"/>
    <w:rsid w:val="00C70A8D"/>
    <w:rsid w:val="00D31A1C"/>
    <w:rsid w:val="00D61053"/>
    <w:rsid w:val="00D73DFE"/>
    <w:rsid w:val="00E519D9"/>
    <w:rsid w:val="00E63CC0"/>
    <w:rsid w:val="00EB3F48"/>
    <w:rsid w:val="00ED4412"/>
    <w:rsid w:val="2B39772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276" w:lineRule="auto"/>
    </w:pPr>
    <w:rPr>
      <w:rFonts w:ascii="Arial" w:hAnsi="Arial" w:eastAsia="Arial" w:cs="Arial"/>
      <w:sz w:val="22"/>
      <w:szCs w:val="22"/>
      <w:lang w:val="pt-BR" w:eastAsia="pt-BR"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6"/>
    <w:qFormat/>
    <w:uiPriority w:val="1"/>
    <w:pPr>
      <w:widowControl w:val="0"/>
      <w:autoSpaceDE w:val="0"/>
      <w:autoSpaceDN w:val="0"/>
      <w:spacing w:line="240" w:lineRule="auto"/>
    </w:pPr>
    <w:rPr>
      <w:rFonts w:ascii="Times New Roman" w:hAnsi="Times New Roman" w:eastAsia="Times New Roman" w:cs="Times New Roman"/>
      <w:sz w:val="20"/>
      <w:szCs w:val="20"/>
      <w:lang w:val="pt-PT" w:eastAsia="en-US"/>
    </w:rPr>
  </w:style>
  <w:style w:type="paragraph" w:styleId="11">
    <w:name w:val="Title"/>
    <w:basedOn w:val="1"/>
    <w:next w:val="1"/>
    <w:qFormat/>
    <w:uiPriority w:val="10"/>
    <w:pPr>
      <w:keepNext/>
      <w:keepLines/>
      <w:spacing w:after="60"/>
    </w:pPr>
    <w:rPr>
      <w:sz w:val="52"/>
      <w:szCs w:val="52"/>
    </w:rPr>
  </w:style>
  <w:style w:type="paragraph" w:styleId="12">
    <w:name w:val="header"/>
    <w:basedOn w:val="1"/>
    <w:link w:val="17"/>
    <w:unhideWhenUsed/>
    <w:uiPriority w:val="99"/>
    <w:pPr>
      <w:tabs>
        <w:tab w:val="center" w:pos="4252"/>
        <w:tab w:val="right" w:pos="8504"/>
      </w:tabs>
      <w:spacing w:line="240" w:lineRule="auto"/>
    </w:pPr>
  </w:style>
  <w:style w:type="paragraph" w:styleId="13">
    <w:name w:val="footer"/>
    <w:basedOn w:val="1"/>
    <w:link w:val="18"/>
    <w:unhideWhenUsed/>
    <w:uiPriority w:val="99"/>
    <w:pPr>
      <w:tabs>
        <w:tab w:val="center" w:pos="4252"/>
        <w:tab w:val="right" w:pos="8504"/>
      </w:tabs>
      <w:spacing w:line="240" w:lineRule="auto"/>
    </w:pPr>
  </w:style>
  <w:style w:type="paragraph" w:styleId="14">
    <w:name w:val="Subtitle"/>
    <w:basedOn w:val="1"/>
    <w:next w:val="1"/>
    <w:qFormat/>
    <w:uiPriority w:val="11"/>
    <w:pPr>
      <w:keepNext/>
      <w:keepLines/>
      <w:spacing w:after="320"/>
    </w:pPr>
    <w:rPr>
      <w:color w:val="666666"/>
      <w:sz w:val="30"/>
      <w:szCs w:val="30"/>
    </w:rPr>
  </w:style>
  <w:style w:type="table" w:customStyle="1" w:styleId="15">
    <w:name w:val="Table Normal"/>
    <w:uiPriority w:val="0"/>
    <w:tblPr>
      <w:tblCellMar>
        <w:top w:w="0" w:type="dxa"/>
        <w:left w:w="0" w:type="dxa"/>
        <w:bottom w:w="0" w:type="dxa"/>
        <w:right w:w="0" w:type="dxa"/>
      </w:tblCellMar>
    </w:tblPr>
  </w:style>
  <w:style w:type="character" w:customStyle="1" w:styleId="16">
    <w:name w:val="Corpo de texto Char"/>
    <w:basedOn w:val="8"/>
    <w:link w:val="10"/>
    <w:qFormat/>
    <w:uiPriority w:val="1"/>
    <w:rPr>
      <w:rFonts w:ascii="Times New Roman" w:hAnsi="Times New Roman" w:eastAsia="Times New Roman" w:cs="Times New Roman"/>
      <w:sz w:val="20"/>
      <w:szCs w:val="20"/>
      <w:lang w:val="pt-PT" w:eastAsia="en-US"/>
    </w:rPr>
  </w:style>
  <w:style w:type="character" w:customStyle="1" w:styleId="17">
    <w:name w:val="Cabeçalho Char"/>
    <w:basedOn w:val="8"/>
    <w:link w:val="12"/>
    <w:uiPriority w:val="99"/>
  </w:style>
  <w:style w:type="character" w:customStyle="1" w:styleId="18">
    <w:name w:val="Rodapé Char"/>
    <w:basedOn w:val="8"/>
    <w:link w:val="13"/>
    <w:uiPriority w:val="99"/>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3218-37D1-4A6D-B055-DC8CA9026540}">
  <ds:schemaRefs/>
</ds:datastoreItem>
</file>

<file path=docProps/app.xml><?xml version="1.0" encoding="utf-8"?>
<Properties xmlns="http://schemas.openxmlformats.org/officeDocument/2006/extended-properties" xmlns:vt="http://schemas.openxmlformats.org/officeDocument/2006/docPropsVTypes">
  <Template>Normal</Template>
  <Pages>7</Pages>
  <Words>1914</Words>
  <Characters>10336</Characters>
  <Lines>86</Lines>
  <Paragraphs>24</Paragraphs>
  <TotalTime>238</TotalTime>
  <ScaleCrop>false</ScaleCrop>
  <LinksUpToDate>false</LinksUpToDate>
  <CharactersWithSpaces>12226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2025-03-18T15:05:00Z</dcterms:created>
  <dc:creator>Máneton Antunes de Macedo</dc:creator>
  <cp:lastModifiedBy>jardel.arouche</cp:lastModifiedBy>
  <cp:lastPrinted>2025-03-19T13:38:00Z</cp:lastPrinted>
  <dcterms:modified xsi:type="dcterms:W3CDTF">2025-03-19T19:54:08Z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7392AC7759DD4E56AE09CB7DF3642D7B_13</vt:lpwstr>
  </property>
</Properties>
</file>