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78916F50" w14:textId="2EF974B1" w:rsidR="006A66C1" w:rsidRPr="000E1CC7" w:rsidRDefault="006A66C1" w:rsidP="0006726F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6376F">
        <w:rPr>
          <w:b/>
          <w:sz w:val="24"/>
          <w:szCs w:val="24"/>
          <w:u w:val="single"/>
        </w:rPr>
        <w:t xml:space="preserve"> </w:t>
      </w:r>
      <w:r w:rsidR="001D7B26">
        <w:rPr>
          <w:b/>
          <w:sz w:val="24"/>
          <w:szCs w:val="24"/>
          <w:u w:val="single"/>
        </w:rPr>
        <w:t>290</w:t>
      </w:r>
      <w:r w:rsidR="00640F3C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C52654">
        <w:rPr>
          <w:b/>
          <w:sz w:val="24"/>
          <w:szCs w:val="24"/>
          <w:u w:val="single"/>
        </w:rPr>
        <w:t>4</w:t>
      </w:r>
    </w:p>
    <w:p w14:paraId="7BEA4F38" w14:textId="77777777" w:rsidR="00182A40" w:rsidRDefault="00182A40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47BE5099" w:rsidR="006A66C1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632927D9" w:rsidR="00BC3754" w:rsidRPr="00D0302D" w:rsidRDefault="006A66C1" w:rsidP="00CE2336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 xml:space="preserve">Projeto de             Lei nº </w:t>
      </w:r>
      <w:r w:rsidR="00CE2336">
        <w:rPr>
          <w:b/>
          <w:bCs/>
          <w:sz w:val="24"/>
          <w:szCs w:val="24"/>
        </w:rPr>
        <w:t>096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CE2336">
        <w:rPr>
          <w:b/>
          <w:bCs/>
          <w:color w:val="000000" w:themeColor="text1"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925CAB">
        <w:rPr>
          <w:sz w:val="24"/>
          <w:szCs w:val="24"/>
        </w:rPr>
        <w:t>de autoria d</w:t>
      </w:r>
      <w:r w:rsidR="00182A40">
        <w:rPr>
          <w:sz w:val="24"/>
          <w:szCs w:val="24"/>
        </w:rPr>
        <w:t>o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 D</w:t>
      </w:r>
      <w:r w:rsidRPr="00925CAB">
        <w:rPr>
          <w:sz w:val="24"/>
          <w:szCs w:val="24"/>
        </w:rPr>
        <w:t>eputad</w:t>
      </w:r>
      <w:r w:rsidR="00182A40">
        <w:rPr>
          <w:sz w:val="24"/>
          <w:szCs w:val="24"/>
        </w:rPr>
        <w:t xml:space="preserve">o Leandro </w:t>
      </w:r>
      <w:proofErr w:type="spellStart"/>
      <w:r w:rsidR="00182A40">
        <w:rPr>
          <w:sz w:val="24"/>
          <w:szCs w:val="24"/>
        </w:rPr>
        <w:t>Bello</w:t>
      </w:r>
      <w:proofErr w:type="spellEnd"/>
      <w:r w:rsidRPr="00925CAB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21727702"/>
      <w:r w:rsidR="004F1596" w:rsidRPr="00C04D5A">
        <w:rPr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06726F" w:rsidRPr="0006726F">
        <w:rPr>
          <w:b/>
          <w:bCs/>
          <w:sz w:val="24"/>
          <w:szCs w:val="24"/>
        </w:rPr>
        <w:t>que estabelece que a negativa de matrícula escolar deverá ser apresentada por termo escrito e com justificativa, pelas instituições de ensino do Estado do Maranhão.</w:t>
      </w:r>
    </w:p>
    <w:bookmarkEnd w:id="0"/>
    <w:p w14:paraId="6CFAAE29" w14:textId="4194331A" w:rsidR="006A66C1" w:rsidRDefault="0030488A" w:rsidP="00925CA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6726F" w:rsidRPr="0006726F">
        <w:rPr>
          <w:sz w:val="24"/>
          <w:szCs w:val="24"/>
        </w:rPr>
        <w:t xml:space="preserve"> presente propositura</w:t>
      </w:r>
      <w:r w:rsidR="0006726F" w:rsidRPr="0006726F">
        <w:rPr>
          <w:rFonts w:eastAsiaTheme="minorEastAsia"/>
          <w:sz w:val="24"/>
          <w:szCs w:val="24"/>
          <w:lang w:eastAsia="en-US"/>
        </w:rPr>
        <w:t xml:space="preserve"> </w:t>
      </w:r>
      <w:r w:rsidR="0006726F" w:rsidRPr="0006726F">
        <w:rPr>
          <w:sz w:val="24"/>
          <w:szCs w:val="24"/>
        </w:rPr>
        <w:t>estabelece que a negativa de matrícula escolar à criança ou adolescente deverá ser apresentada por termo escrito e com justificativa pelas instituições de ensino do Estado do Maranhão.</w:t>
      </w:r>
    </w:p>
    <w:p w14:paraId="54C07345" w14:textId="77777777" w:rsidR="0006726F" w:rsidRPr="0006726F" w:rsidRDefault="0006726F" w:rsidP="0006726F">
      <w:pPr>
        <w:spacing w:line="360" w:lineRule="auto"/>
        <w:ind w:firstLine="851"/>
        <w:jc w:val="both"/>
        <w:rPr>
          <w:sz w:val="24"/>
          <w:szCs w:val="24"/>
        </w:rPr>
      </w:pPr>
      <w:r w:rsidRPr="0006726F">
        <w:rPr>
          <w:sz w:val="24"/>
          <w:szCs w:val="24"/>
        </w:rPr>
        <w:t>A Constituição Federal de 1988 estabelece que a compete a União, Estados e Distrito Federal legislar concorrente sobre</w:t>
      </w:r>
      <w:r w:rsidRPr="0006726F">
        <w:rPr>
          <w:b/>
          <w:bCs/>
          <w:sz w:val="24"/>
          <w:szCs w:val="24"/>
        </w:rPr>
        <w:t xml:space="preserve"> educação</w:t>
      </w:r>
      <w:r w:rsidRPr="0006726F">
        <w:rPr>
          <w:sz w:val="24"/>
          <w:szCs w:val="24"/>
        </w:rPr>
        <w:t xml:space="preserve">, cultura, </w:t>
      </w:r>
      <w:r w:rsidRPr="0006726F">
        <w:rPr>
          <w:b/>
          <w:bCs/>
          <w:sz w:val="24"/>
          <w:szCs w:val="24"/>
        </w:rPr>
        <w:t>ensino</w:t>
      </w:r>
      <w:r w:rsidRPr="0006726F">
        <w:rPr>
          <w:sz w:val="24"/>
          <w:szCs w:val="24"/>
        </w:rPr>
        <w:t>, desporto, ciência, tecnologia, pesquisa, desenvolvimento e inovação (art. 24, IX).</w:t>
      </w:r>
    </w:p>
    <w:p w14:paraId="76131367" w14:textId="77777777" w:rsidR="0006726F" w:rsidRPr="0006726F" w:rsidRDefault="0006726F" w:rsidP="0006726F">
      <w:pPr>
        <w:spacing w:line="360" w:lineRule="auto"/>
        <w:ind w:firstLine="851"/>
        <w:jc w:val="both"/>
        <w:rPr>
          <w:sz w:val="24"/>
          <w:szCs w:val="24"/>
        </w:rPr>
      </w:pPr>
      <w:r w:rsidRPr="0006726F">
        <w:rPr>
          <w:sz w:val="24"/>
          <w:szCs w:val="24"/>
        </w:rPr>
        <w:t>A Suprema Corte já decidiu que:</w:t>
      </w:r>
    </w:p>
    <w:p w14:paraId="54DC417D" w14:textId="77777777" w:rsidR="0006726F" w:rsidRPr="0006726F" w:rsidRDefault="0006726F" w:rsidP="0006726F">
      <w:pPr>
        <w:ind w:left="1418"/>
        <w:jc w:val="both"/>
        <w:rPr>
          <w:bCs/>
          <w:sz w:val="22"/>
          <w:szCs w:val="22"/>
        </w:rPr>
      </w:pPr>
      <w:r w:rsidRPr="0006726F">
        <w:rPr>
          <w:bCs/>
          <w:sz w:val="22"/>
          <w:szCs w:val="22"/>
        </w:rPr>
        <w:t xml:space="preserve">Lei fluminense que proíbe a cobrança pelos estabelecimentos de ensino sediados no Estado do Rio de Janeiro, por provas de segunda-chamada, provas finais ou equivalentes, não podendo os estudantes ser impedidos de fazer provas, testes, exames ou outras formas de avaliação, por falta de pagamento prévio. </w:t>
      </w:r>
      <w:r w:rsidRPr="0006726F">
        <w:rPr>
          <w:b/>
          <w:sz w:val="22"/>
          <w:szCs w:val="22"/>
        </w:rPr>
        <w:t>Ao estabelecer regras protetivas dos estudantes mais amplas do que as federais, quanto à cobrança por provas de segunda chamada ou finais, o Estado do Rio de Janeiro atuou dentro da área de sua competência concorrente para legislar sobre direito do consumidor e educação</w:t>
      </w:r>
      <w:r w:rsidRPr="0006726F">
        <w:rPr>
          <w:bCs/>
          <w:sz w:val="22"/>
          <w:szCs w:val="22"/>
        </w:rPr>
        <w:t xml:space="preserve"> (art. 24, inciso V e IX).[</w:t>
      </w:r>
      <w:hyperlink r:id="rId6" w:tgtFrame="_blank" w:history="1">
        <w:r w:rsidRPr="0006726F">
          <w:rPr>
            <w:bCs/>
            <w:sz w:val="22"/>
            <w:szCs w:val="22"/>
          </w:rPr>
          <w:t>ADI 3.874</w:t>
        </w:r>
      </w:hyperlink>
      <w:r w:rsidRPr="0006726F">
        <w:rPr>
          <w:bCs/>
          <w:sz w:val="22"/>
          <w:szCs w:val="22"/>
        </w:rPr>
        <w:t>, rel. min. Roberto Barroso, j. 23-8-2019, P, </w:t>
      </w:r>
      <w:r w:rsidRPr="0006726F">
        <w:rPr>
          <w:bCs/>
          <w:i/>
          <w:iCs/>
          <w:sz w:val="22"/>
          <w:szCs w:val="22"/>
        </w:rPr>
        <w:t>DJE</w:t>
      </w:r>
      <w:r w:rsidRPr="0006726F">
        <w:rPr>
          <w:bCs/>
          <w:sz w:val="22"/>
          <w:szCs w:val="22"/>
        </w:rPr>
        <w:t> de 9-9-2019.]</w:t>
      </w:r>
    </w:p>
    <w:p w14:paraId="20C947FB" w14:textId="77777777" w:rsidR="0006726F" w:rsidRPr="0006726F" w:rsidRDefault="0006726F" w:rsidP="0006726F">
      <w:pPr>
        <w:ind w:left="1418"/>
        <w:jc w:val="both"/>
        <w:rPr>
          <w:bCs/>
          <w:sz w:val="22"/>
          <w:szCs w:val="22"/>
        </w:rPr>
      </w:pPr>
    </w:p>
    <w:p w14:paraId="64DB2D6A" w14:textId="77777777" w:rsidR="0006726F" w:rsidRPr="0006726F" w:rsidRDefault="0006726F" w:rsidP="0006726F">
      <w:pPr>
        <w:ind w:left="1418"/>
        <w:jc w:val="both"/>
        <w:rPr>
          <w:bCs/>
          <w:sz w:val="22"/>
          <w:szCs w:val="22"/>
        </w:rPr>
      </w:pPr>
      <w:r w:rsidRPr="0006726F">
        <w:rPr>
          <w:sz w:val="22"/>
          <w:szCs w:val="22"/>
        </w:rPr>
        <w:t>___________________________</w:t>
      </w:r>
    </w:p>
    <w:p w14:paraId="476A356A" w14:textId="77777777" w:rsidR="0006726F" w:rsidRPr="0006726F" w:rsidRDefault="0006726F" w:rsidP="0006726F">
      <w:pPr>
        <w:ind w:left="1418"/>
        <w:jc w:val="both"/>
        <w:rPr>
          <w:bCs/>
          <w:sz w:val="22"/>
          <w:szCs w:val="22"/>
        </w:rPr>
      </w:pPr>
    </w:p>
    <w:p w14:paraId="509011A7" w14:textId="77777777" w:rsidR="0006726F" w:rsidRPr="0006726F" w:rsidRDefault="0006726F" w:rsidP="0006726F">
      <w:pPr>
        <w:ind w:left="1418"/>
        <w:jc w:val="both"/>
        <w:rPr>
          <w:bCs/>
          <w:sz w:val="22"/>
          <w:szCs w:val="22"/>
        </w:rPr>
      </w:pPr>
      <w:r w:rsidRPr="0006726F">
        <w:rPr>
          <w:b/>
          <w:sz w:val="22"/>
          <w:szCs w:val="22"/>
        </w:rPr>
        <w:t>Competência concorrente entre a União, que define as normas gerais, e os entes estaduais e Distrito Federal, que fixam as especificidades, os modos e meios de cumprir o quanto estabelecido no art. 24, IX, da Constituição da República, ou seja, para legislar sobre educação.</w:t>
      </w:r>
      <w:r w:rsidRPr="0006726F">
        <w:rPr>
          <w:bCs/>
          <w:sz w:val="22"/>
          <w:szCs w:val="22"/>
        </w:rPr>
        <w:t xml:space="preserve"> O art. 22, XXIV, da Constituição da República enfatiza a competência privativa do legislador nacional para definir as diretrizes e bases da educação nacional, deixando as singularidades no âmbito de competência dos Estados e do Distrito Federal.</w:t>
      </w:r>
    </w:p>
    <w:p w14:paraId="42020DF5" w14:textId="77777777" w:rsidR="0006726F" w:rsidRPr="0006726F" w:rsidRDefault="0006726F" w:rsidP="0006726F">
      <w:pPr>
        <w:ind w:left="1418"/>
        <w:jc w:val="both"/>
        <w:rPr>
          <w:bCs/>
          <w:sz w:val="22"/>
          <w:szCs w:val="22"/>
        </w:rPr>
      </w:pPr>
      <w:r w:rsidRPr="0006726F">
        <w:rPr>
          <w:bCs/>
          <w:sz w:val="22"/>
          <w:szCs w:val="22"/>
        </w:rPr>
        <w:t>[</w:t>
      </w:r>
      <w:hyperlink r:id="rId7" w:tgtFrame="_blank" w:history="1">
        <w:r w:rsidRPr="0006726F">
          <w:rPr>
            <w:bCs/>
            <w:sz w:val="22"/>
            <w:szCs w:val="22"/>
          </w:rPr>
          <w:t>ADI 3.669</w:t>
        </w:r>
      </w:hyperlink>
      <w:r w:rsidRPr="0006726F">
        <w:rPr>
          <w:bCs/>
          <w:sz w:val="22"/>
          <w:szCs w:val="22"/>
        </w:rPr>
        <w:t xml:space="preserve">, rel. min. </w:t>
      </w:r>
      <w:proofErr w:type="spellStart"/>
      <w:r w:rsidRPr="0006726F">
        <w:rPr>
          <w:bCs/>
          <w:sz w:val="22"/>
          <w:szCs w:val="22"/>
        </w:rPr>
        <w:t>Cármen</w:t>
      </w:r>
      <w:proofErr w:type="spellEnd"/>
      <w:r w:rsidRPr="0006726F">
        <w:rPr>
          <w:bCs/>
          <w:sz w:val="22"/>
          <w:szCs w:val="22"/>
        </w:rPr>
        <w:t xml:space="preserve"> Lúcia, j. 18-6-2007, P, DJ de 29-6-2007.]</w:t>
      </w:r>
    </w:p>
    <w:p w14:paraId="63DE451F" w14:textId="77777777" w:rsidR="0006726F" w:rsidRPr="0006726F" w:rsidRDefault="0006726F" w:rsidP="0006726F">
      <w:pPr>
        <w:spacing w:line="360" w:lineRule="auto"/>
        <w:ind w:firstLine="1134"/>
        <w:jc w:val="both"/>
        <w:rPr>
          <w:sz w:val="22"/>
          <w:szCs w:val="22"/>
        </w:rPr>
      </w:pPr>
    </w:p>
    <w:p w14:paraId="610E9D49" w14:textId="77777777" w:rsidR="0006726F" w:rsidRPr="0006726F" w:rsidRDefault="0006726F" w:rsidP="0006726F">
      <w:pPr>
        <w:spacing w:line="360" w:lineRule="auto"/>
        <w:ind w:firstLine="851"/>
        <w:jc w:val="both"/>
        <w:rPr>
          <w:sz w:val="24"/>
          <w:szCs w:val="24"/>
        </w:rPr>
      </w:pPr>
      <w:r w:rsidRPr="0006726F">
        <w:rPr>
          <w:sz w:val="24"/>
          <w:szCs w:val="24"/>
        </w:rPr>
        <w:t>Nessa senda, caberá a União editar normas gerais, e aos Estados e Distrito Federal dispor acerca de normas suplementares, quando for o caso.</w:t>
      </w:r>
    </w:p>
    <w:p w14:paraId="08B4F05C" w14:textId="77777777" w:rsidR="0006726F" w:rsidRPr="0006726F" w:rsidRDefault="0006726F" w:rsidP="0006726F">
      <w:pPr>
        <w:spacing w:line="360" w:lineRule="auto"/>
        <w:ind w:firstLine="851"/>
        <w:jc w:val="both"/>
        <w:rPr>
          <w:sz w:val="24"/>
          <w:szCs w:val="24"/>
        </w:rPr>
      </w:pPr>
      <w:r w:rsidRPr="0006726F">
        <w:rPr>
          <w:sz w:val="24"/>
          <w:szCs w:val="24"/>
        </w:rPr>
        <w:lastRenderedPageBreak/>
        <w:t xml:space="preserve">Por esse prisma, a União editou normas gerais a respeito do tema, estampada na Lei n° 7.853/89, que estabelece que nenhuma escola pública ou privada pode recusar, suspender, atrapalhar, cancelar ou fazer cessar, sem justa causa, a matrícula de estudante com deficiência por motivos derivados da deficiência do estudante, punindo quem viola essa regra com pena de reclusão de um a quatro anos e multa. </w:t>
      </w:r>
    </w:p>
    <w:p w14:paraId="2075B00C" w14:textId="77777777" w:rsidR="0006726F" w:rsidRPr="0006726F" w:rsidRDefault="0006726F" w:rsidP="0006726F">
      <w:pPr>
        <w:spacing w:line="360" w:lineRule="auto"/>
        <w:ind w:firstLine="851"/>
        <w:jc w:val="both"/>
        <w:rPr>
          <w:sz w:val="24"/>
          <w:szCs w:val="24"/>
        </w:rPr>
      </w:pPr>
      <w:r w:rsidRPr="0006726F">
        <w:rPr>
          <w:sz w:val="24"/>
          <w:szCs w:val="24"/>
        </w:rPr>
        <w:t>Com efeito, a Lei n. 12.764/12 pune o gestor escolar ou autoridade competente que recusar a matrícula de aluno com qualquer tipo de deficiência com multa de três a 20 salários-mínimos</w:t>
      </w:r>
    </w:p>
    <w:p w14:paraId="5DEF7FCB" w14:textId="77777777" w:rsidR="0006726F" w:rsidRPr="0006726F" w:rsidRDefault="0006726F" w:rsidP="0006726F">
      <w:pPr>
        <w:spacing w:line="360" w:lineRule="auto"/>
        <w:ind w:firstLine="851"/>
        <w:jc w:val="both"/>
        <w:rPr>
          <w:sz w:val="24"/>
          <w:szCs w:val="24"/>
        </w:rPr>
      </w:pPr>
      <w:r w:rsidRPr="0006726F">
        <w:rPr>
          <w:sz w:val="24"/>
          <w:szCs w:val="24"/>
        </w:rPr>
        <w:t xml:space="preserve">Nesse contexto, </w:t>
      </w:r>
      <w:r w:rsidRPr="0006726F">
        <w:rPr>
          <w:b/>
          <w:sz w:val="24"/>
          <w:szCs w:val="24"/>
        </w:rPr>
        <w:t xml:space="preserve">da análise do projeto de lei verifica-se que houve complementação/suplementação, </w:t>
      </w:r>
      <w:r w:rsidRPr="0006726F">
        <w:rPr>
          <w:sz w:val="24"/>
          <w:szCs w:val="24"/>
        </w:rPr>
        <w:t>uma vez que amplia e efetiva a proteção à</w:t>
      </w:r>
      <w:r w:rsidRPr="0006726F">
        <w:rPr>
          <w:b/>
          <w:bCs/>
          <w:sz w:val="24"/>
          <w:szCs w:val="24"/>
        </w:rPr>
        <w:t xml:space="preserve"> educação e ao ensino </w:t>
      </w:r>
      <w:r w:rsidRPr="0006726F">
        <w:rPr>
          <w:sz w:val="24"/>
          <w:szCs w:val="24"/>
        </w:rPr>
        <w:t>sem invadir, portanto, a competência geral da União (§1º, do art. 24 da CF/1988.</w:t>
      </w:r>
    </w:p>
    <w:p w14:paraId="48067ADE" w14:textId="77777777" w:rsidR="0006726F" w:rsidRPr="0006726F" w:rsidRDefault="0006726F" w:rsidP="0006726F">
      <w:pPr>
        <w:spacing w:line="360" w:lineRule="auto"/>
        <w:ind w:firstLine="851"/>
        <w:jc w:val="both"/>
        <w:rPr>
          <w:sz w:val="24"/>
          <w:szCs w:val="24"/>
        </w:rPr>
      </w:pPr>
      <w:r w:rsidRPr="0006726F">
        <w:rPr>
          <w:sz w:val="24"/>
          <w:szCs w:val="24"/>
        </w:rPr>
        <w:t>Assim sendo, não há qualquer óbice formal ou material ao projeto de lei, seja do ponto de vista das normas constitucionais ou infraconstitucionais.</w:t>
      </w:r>
    </w:p>
    <w:p w14:paraId="5CCE62BC" w14:textId="77777777" w:rsidR="00697C0D" w:rsidRDefault="00697C0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5BB3FB97" w14:textId="6D794156" w:rsidR="0006726F" w:rsidRPr="0006726F" w:rsidRDefault="0006726F" w:rsidP="0006726F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06726F">
        <w:rPr>
          <w:sz w:val="24"/>
          <w:szCs w:val="24"/>
        </w:rPr>
        <w:t xml:space="preserve">Diante do Exposto, e pela fundamentação supramencionada, somos pela aprovação do </w:t>
      </w:r>
      <w:r w:rsidRPr="0006726F">
        <w:rPr>
          <w:b/>
          <w:bCs/>
          <w:sz w:val="24"/>
          <w:szCs w:val="24"/>
        </w:rPr>
        <w:t xml:space="preserve">Projeto de Lei n° </w:t>
      </w:r>
      <w:r w:rsidR="0030488A">
        <w:rPr>
          <w:b/>
          <w:bCs/>
          <w:sz w:val="24"/>
          <w:szCs w:val="24"/>
        </w:rPr>
        <w:t>0</w:t>
      </w:r>
      <w:r w:rsidRPr="0006726F">
        <w:rPr>
          <w:b/>
          <w:bCs/>
          <w:sz w:val="24"/>
          <w:szCs w:val="24"/>
        </w:rPr>
        <w:t>96/2024</w:t>
      </w:r>
      <w:r w:rsidRPr="0006726F">
        <w:rPr>
          <w:sz w:val="24"/>
          <w:szCs w:val="24"/>
        </w:rPr>
        <w:t>, por não possuir nenhum vício formal nem material de inconstitucionalidade.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28FA7644" w14:textId="77777777" w:rsidR="0006726F" w:rsidRDefault="0006726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1B77BAAA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607075E3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7B2D1495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1BCCD1E1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57CBA955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239ADA0A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7D129E23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77B09AEA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5E49AD80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7A6AAF5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6A7BDF2F" w14:textId="77777777" w:rsidR="005F787F" w:rsidRDefault="005F787F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5BA007BC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06726F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06726F">
        <w:rPr>
          <w:b/>
          <w:sz w:val="24"/>
          <w:szCs w:val="24"/>
        </w:rPr>
        <w:t>096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06726F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7777777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143E1126" w14:textId="63A15414" w:rsidR="0006726F" w:rsidRDefault="003F71BC" w:rsidP="005F787F">
      <w:pPr>
        <w:spacing w:line="360" w:lineRule="auto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B519B" w:rsidRPr="000E1CC7">
        <w:rPr>
          <w:rFonts w:eastAsia="Calibri"/>
          <w:sz w:val="24"/>
          <w:szCs w:val="24"/>
        </w:rPr>
        <w:t xml:space="preserve"> </w:t>
      </w:r>
      <w:r w:rsidR="0006726F">
        <w:rPr>
          <w:rFonts w:eastAsia="Calibri"/>
          <w:sz w:val="24"/>
          <w:szCs w:val="24"/>
        </w:rPr>
        <w:t>SALA DAS COMISSÕES “DEPUTADO LÉO FRANKLIM”,</w:t>
      </w:r>
      <w:r w:rsidR="0006726F" w:rsidRPr="005F787F">
        <w:rPr>
          <w:rFonts w:eastAsia="Calibri"/>
          <w:sz w:val="24"/>
          <w:szCs w:val="24"/>
        </w:rPr>
        <w:t xml:space="preserve"> </w:t>
      </w:r>
      <w:r w:rsidR="0006726F" w:rsidRPr="005F787F">
        <w:rPr>
          <w:sz w:val="24"/>
          <w:szCs w:val="24"/>
        </w:rPr>
        <w:t xml:space="preserve">em </w:t>
      </w:r>
      <w:r w:rsidR="0030488A">
        <w:rPr>
          <w:sz w:val="24"/>
          <w:szCs w:val="24"/>
        </w:rPr>
        <w:t>16</w:t>
      </w:r>
      <w:r w:rsidR="0006726F" w:rsidRPr="005F787F">
        <w:rPr>
          <w:sz w:val="24"/>
          <w:szCs w:val="24"/>
        </w:rPr>
        <w:t xml:space="preserve"> de abril de 2024.</w:t>
      </w:r>
    </w:p>
    <w:p w14:paraId="00F2FECD" w14:textId="61DB757C" w:rsidR="00F55C69" w:rsidRPr="00F55C69" w:rsidRDefault="0006726F" w:rsidP="00F55C69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</w:t>
      </w:r>
      <w:r w:rsidR="00F55C69">
        <w:rPr>
          <w:rFonts w:eastAsia="Calibri"/>
          <w:b/>
          <w:color w:val="000000"/>
          <w:sz w:val="24"/>
          <w:szCs w:val="24"/>
        </w:rPr>
        <w:t xml:space="preserve">         </w:t>
      </w:r>
      <w:r>
        <w:rPr>
          <w:rFonts w:eastAsia="Calibri"/>
          <w:b/>
          <w:color w:val="000000"/>
          <w:sz w:val="24"/>
          <w:szCs w:val="24"/>
        </w:rPr>
        <w:t xml:space="preserve">  </w:t>
      </w:r>
      <w:r w:rsidR="00F55C69" w:rsidRPr="00F55C69">
        <w:rPr>
          <w:rFonts w:eastAsia="Calibri"/>
          <w:b/>
          <w:color w:val="000000"/>
          <w:sz w:val="22"/>
          <w:szCs w:val="22"/>
          <w:lang w:eastAsia="en-US"/>
        </w:rPr>
        <w:t>Presidente:</w:t>
      </w:r>
      <w:r w:rsidR="00F55C69" w:rsidRPr="00F55C69"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0525B792" w14:textId="2E850932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5C69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</w:t>
      </w:r>
      <w:r w:rsidRPr="00F55C69">
        <w:rPr>
          <w:rFonts w:eastAsia="Calibri"/>
          <w:b/>
          <w:color w:val="000000"/>
          <w:sz w:val="22"/>
          <w:szCs w:val="22"/>
          <w:lang w:eastAsia="en-US"/>
        </w:rPr>
        <w:t>Relator:</w:t>
      </w:r>
      <w:r w:rsidRPr="00F55C69">
        <w:rPr>
          <w:rFonts w:eastAsia="Calibri"/>
          <w:color w:val="000000"/>
          <w:sz w:val="22"/>
          <w:szCs w:val="22"/>
          <w:lang w:eastAsia="en-US"/>
        </w:rPr>
        <w:t xml:space="preserve"> Deputado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Glalbert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Cutrim</w:t>
      </w:r>
    </w:p>
    <w:p w14:paraId="13001F41" w14:textId="77777777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6BBBCF8" w14:textId="77777777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F55C69">
        <w:rPr>
          <w:rFonts w:eastAsia="Calibri"/>
          <w:b/>
          <w:color w:val="000000"/>
          <w:sz w:val="22"/>
          <w:szCs w:val="22"/>
          <w:lang w:eastAsia="en-US"/>
        </w:rPr>
        <w:t>Vota a favor:                                                                Vota contra:</w:t>
      </w:r>
    </w:p>
    <w:p w14:paraId="6B4D1AB6" w14:textId="77777777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5C69">
        <w:rPr>
          <w:rFonts w:eastAsia="Calibri"/>
          <w:color w:val="000000"/>
          <w:sz w:val="22"/>
          <w:szCs w:val="22"/>
          <w:lang w:eastAsia="en-US"/>
        </w:rPr>
        <w:t>Deputado Doutor Yglésio                                              _________________________</w:t>
      </w:r>
    </w:p>
    <w:p w14:paraId="0806B95A" w14:textId="77777777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5C69"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              _________________________</w:t>
      </w:r>
    </w:p>
    <w:p w14:paraId="050179B5" w14:textId="77777777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55C69">
        <w:rPr>
          <w:rFonts w:eastAsia="Calibri"/>
          <w:color w:val="000000"/>
          <w:sz w:val="22"/>
          <w:szCs w:val="22"/>
          <w:lang w:eastAsia="en-US"/>
        </w:rPr>
        <w:t>Deputado Ariston                                                            _________________________</w:t>
      </w:r>
    </w:p>
    <w:p w14:paraId="24A6B739" w14:textId="4CBBC31A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5C69">
        <w:rPr>
          <w:color w:val="000000"/>
          <w:sz w:val="24"/>
          <w:szCs w:val="24"/>
        </w:rPr>
        <w:t xml:space="preserve"> </w:t>
      </w:r>
      <w:r w:rsidRPr="00F55C69"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r>
        <w:rPr>
          <w:rFonts w:eastAsia="Calibri"/>
          <w:color w:val="000000"/>
          <w:sz w:val="22"/>
          <w:szCs w:val="22"/>
          <w:lang w:eastAsia="en-US"/>
        </w:rPr>
        <w:t xml:space="preserve">Fernando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Braide</w:t>
      </w:r>
      <w:proofErr w:type="spellEnd"/>
      <w:r w:rsidRPr="00F55C69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_________________________</w:t>
      </w:r>
    </w:p>
    <w:p w14:paraId="2ACFCE77" w14:textId="77777777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55C69"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p w14:paraId="01306D06" w14:textId="77777777" w:rsidR="00F55C69" w:rsidRPr="00F55C69" w:rsidRDefault="00F55C69" w:rsidP="00F55C6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39D31EBA" w14:textId="77777777" w:rsidR="00F55C69" w:rsidRPr="00F55C69" w:rsidRDefault="00F55C69" w:rsidP="00F55C69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2C249C19" w14:textId="734E8B1A" w:rsidR="00F55C69" w:rsidRDefault="00F55C69" w:rsidP="00F55C6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sz w:val="22"/>
          <w:szCs w:val="22"/>
        </w:rPr>
      </w:pPr>
    </w:p>
    <w:p w14:paraId="7A36C685" w14:textId="11255FA2" w:rsidR="0006726F" w:rsidRDefault="0006726F" w:rsidP="0006726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Theme="minorHAnsi"/>
          <w:sz w:val="22"/>
          <w:szCs w:val="22"/>
        </w:rPr>
      </w:pPr>
    </w:p>
    <w:p w14:paraId="78D61436" w14:textId="226AC72B" w:rsidR="00A362CB" w:rsidRPr="00DA7263" w:rsidRDefault="00A362CB" w:rsidP="0006726F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23451B74" w14:textId="77777777" w:rsidR="003F71BC" w:rsidRDefault="003F71BC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8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CECB" w14:textId="77777777" w:rsidR="00165E9F" w:rsidRDefault="00165E9F" w:rsidP="006A66C1">
      <w:r>
        <w:separator/>
      </w:r>
    </w:p>
  </w:endnote>
  <w:endnote w:type="continuationSeparator" w:id="0">
    <w:p w14:paraId="464D0FC9" w14:textId="77777777" w:rsidR="00165E9F" w:rsidRDefault="00165E9F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D3EC" w14:textId="77777777" w:rsidR="00165E9F" w:rsidRDefault="00165E9F" w:rsidP="006A66C1">
      <w:r>
        <w:separator/>
      </w:r>
    </w:p>
  </w:footnote>
  <w:footnote w:type="continuationSeparator" w:id="0">
    <w:p w14:paraId="5C5C134E" w14:textId="77777777" w:rsidR="00165E9F" w:rsidRDefault="00165E9F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6726F"/>
    <w:rsid w:val="00073488"/>
    <w:rsid w:val="0007756E"/>
    <w:rsid w:val="00085094"/>
    <w:rsid w:val="000B6F8E"/>
    <w:rsid w:val="000D33B6"/>
    <w:rsid w:val="000E1CC7"/>
    <w:rsid w:val="001025F8"/>
    <w:rsid w:val="00122213"/>
    <w:rsid w:val="00165E9F"/>
    <w:rsid w:val="00174393"/>
    <w:rsid w:val="001748CC"/>
    <w:rsid w:val="00182A40"/>
    <w:rsid w:val="001D7B26"/>
    <w:rsid w:val="001E0F37"/>
    <w:rsid w:val="00221E41"/>
    <w:rsid w:val="002A5F47"/>
    <w:rsid w:val="0030488A"/>
    <w:rsid w:val="003216A3"/>
    <w:rsid w:val="00353B5E"/>
    <w:rsid w:val="0036129B"/>
    <w:rsid w:val="0036444D"/>
    <w:rsid w:val="003A4975"/>
    <w:rsid w:val="003E1B2C"/>
    <w:rsid w:val="003F71BC"/>
    <w:rsid w:val="00401A1C"/>
    <w:rsid w:val="00401A7F"/>
    <w:rsid w:val="00416485"/>
    <w:rsid w:val="00450458"/>
    <w:rsid w:val="0046659A"/>
    <w:rsid w:val="00494F88"/>
    <w:rsid w:val="004C3D1B"/>
    <w:rsid w:val="004F1596"/>
    <w:rsid w:val="00514B22"/>
    <w:rsid w:val="005249C4"/>
    <w:rsid w:val="00532099"/>
    <w:rsid w:val="005353D0"/>
    <w:rsid w:val="0055170A"/>
    <w:rsid w:val="00590AE1"/>
    <w:rsid w:val="005C58F1"/>
    <w:rsid w:val="005F787F"/>
    <w:rsid w:val="00605D5A"/>
    <w:rsid w:val="006359FA"/>
    <w:rsid w:val="0063751A"/>
    <w:rsid w:val="00640F3C"/>
    <w:rsid w:val="0066376F"/>
    <w:rsid w:val="00697C0D"/>
    <w:rsid w:val="006A66C1"/>
    <w:rsid w:val="006B0EFD"/>
    <w:rsid w:val="006D7C52"/>
    <w:rsid w:val="006F0899"/>
    <w:rsid w:val="00700843"/>
    <w:rsid w:val="00711354"/>
    <w:rsid w:val="007728CE"/>
    <w:rsid w:val="007B32A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362CB"/>
    <w:rsid w:val="00A46D0E"/>
    <w:rsid w:val="00A635A2"/>
    <w:rsid w:val="00A73537"/>
    <w:rsid w:val="00AC5E6E"/>
    <w:rsid w:val="00AE2A1A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50A8D"/>
    <w:rsid w:val="00C52654"/>
    <w:rsid w:val="00C83141"/>
    <w:rsid w:val="00CA4033"/>
    <w:rsid w:val="00CC4488"/>
    <w:rsid w:val="00CD38A2"/>
    <w:rsid w:val="00CE2336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41541"/>
    <w:rsid w:val="00E767BE"/>
    <w:rsid w:val="00EB519B"/>
    <w:rsid w:val="00EC3059"/>
    <w:rsid w:val="00EC72CD"/>
    <w:rsid w:val="00F04A73"/>
    <w:rsid w:val="00F35408"/>
    <w:rsid w:val="00F55C69"/>
    <w:rsid w:val="00F5794F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f.jus.br/jurisprudencia/IT/frame.asp?SEQ=467560&amp;PROCESSO=3669&amp;CLASSE=ADI&amp;cod_classe=504&amp;ORIGEM=IT&amp;RECURSO=0&amp;TIP_JULGAMENTO=&amp;EMENTA=2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stf.jus.br/processos/detalhe.asp?incidente=24995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2024-04-16T19:09:00Z</dcterms:created>
  <dcterms:modified xsi:type="dcterms:W3CDTF">2024-04-16T19:09:00Z</dcterms:modified>
</cp:coreProperties>
</file>