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5A239044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104744">
        <w:rPr>
          <w:b/>
          <w:sz w:val="24"/>
          <w:szCs w:val="24"/>
          <w:u w:val="single"/>
        </w:rPr>
        <w:t>504</w:t>
      </w:r>
      <w:r w:rsidR="009A28B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217CAEF0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F27F7D">
        <w:rPr>
          <w:b/>
          <w:bCs/>
          <w:sz w:val="24"/>
          <w:szCs w:val="24"/>
        </w:rPr>
        <w:t>2</w:t>
      </w:r>
      <w:r w:rsidR="009A28BC">
        <w:rPr>
          <w:b/>
          <w:bCs/>
          <w:sz w:val="24"/>
          <w:szCs w:val="24"/>
        </w:rPr>
        <w:t>37</w:t>
      </w:r>
      <w:r w:rsidR="00A7406A">
        <w:rPr>
          <w:b/>
          <w:bCs/>
          <w:sz w:val="24"/>
          <w:szCs w:val="24"/>
        </w:rPr>
        <w:t>/202</w:t>
      </w:r>
      <w:r w:rsidR="00F27F7D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9A28BC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9A28BC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9A28BC">
        <w:rPr>
          <w:b/>
          <w:bCs/>
          <w:sz w:val="24"/>
          <w:szCs w:val="24"/>
        </w:rPr>
        <w:t>a Mical Damasceno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104744">
        <w:rPr>
          <w:b/>
          <w:bCs/>
          <w:sz w:val="24"/>
          <w:szCs w:val="24"/>
        </w:rPr>
        <w:t>Considera</w:t>
      </w:r>
      <w:r w:rsidR="007B32A6">
        <w:rPr>
          <w:b/>
          <w:bCs/>
          <w:sz w:val="24"/>
          <w:szCs w:val="24"/>
        </w:rPr>
        <w:t xml:space="preserve"> </w:t>
      </w:r>
      <w:r w:rsidR="00F5794F" w:rsidRPr="00F5794F">
        <w:rPr>
          <w:b/>
          <w:bCs/>
          <w:sz w:val="24"/>
          <w:szCs w:val="24"/>
        </w:rPr>
        <w:t>de Utilidade Pública</w:t>
      </w:r>
      <w:r w:rsidR="009A28BC">
        <w:rPr>
          <w:b/>
          <w:bCs/>
          <w:sz w:val="24"/>
          <w:szCs w:val="24"/>
        </w:rPr>
        <w:t xml:space="preserve"> o Instituto Esperança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104744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670AC9">
        <w:rPr>
          <w:b/>
          <w:bCs/>
          <w:sz w:val="24"/>
          <w:szCs w:val="24"/>
        </w:rPr>
        <w:t xml:space="preserve"> São Luís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7AC3A432" w:rsidR="00F75506" w:rsidRPr="00AE0A31" w:rsidRDefault="009A28BC" w:rsidP="009A28BC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>
        <w:rPr>
          <w:b/>
          <w:bCs/>
          <w:sz w:val="24"/>
          <w:szCs w:val="24"/>
        </w:rPr>
        <w:t xml:space="preserve"> entidade civil</w:t>
      </w:r>
      <w:r w:rsidR="00F27F7D">
        <w:rPr>
          <w:b/>
          <w:bCs/>
          <w:sz w:val="24"/>
          <w:szCs w:val="24"/>
        </w:rPr>
        <w:t xml:space="preserve"> </w:t>
      </w:r>
      <w:r w:rsidR="005A3905">
        <w:rPr>
          <w:b/>
          <w:bCs/>
          <w:sz w:val="24"/>
          <w:szCs w:val="24"/>
        </w:rPr>
        <w:t>sem fins lucrativos</w:t>
      </w:r>
      <w:r w:rsidR="00FF2D3D">
        <w:rPr>
          <w:b/>
          <w:bCs/>
          <w:sz w:val="24"/>
          <w:szCs w:val="24"/>
        </w:rPr>
        <w:t xml:space="preserve">, </w:t>
      </w:r>
      <w:r w:rsidR="00670AC9">
        <w:rPr>
          <w:b/>
          <w:bCs/>
          <w:sz w:val="24"/>
          <w:szCs w:val="24"/>
        </w:rPr>
        <w:t>com duração por tempo indeterminado</w:t>
      </w:r>
      <w:r w:rsidR="00AB0BCE">
        <w:rPr>
          <w:b/>
          <w:bCs/>
          <w:sz w:val="24"/>
          <w:szCs w:val="24"/>
        </w:rPr>
        <w:t>,</w:t>
      </w:r>
      <w:r w:rsidR="00E44162">
        <w:rPr>
          <w:b/>
          <w:bCs/>
          <w:sz w:val="24"/>
          <w:szCs w:val="24"/>
        </w:rPr>
        <w:t xml:space="preserve"> </w:t>
      </w:r>
      <w:r w:rsidR="00F27F7D">
        <w:rPr>
          <w:b/>
          <w:bCs/>
          <w:sz w:val="24"/>
          <w:szCs w:val="24"/>
        </w:rPr>
        <w:t>de caráter</w:t>
      </w:r>
      <w:r>
        <w:rPr>
          <w:b/>
          <w:bCs/>
          <w:sz w:val="24"/>
          <w:szCs w:val="24"/>
        </w:rPr>
        <w:t xml:space="preserve"> cultural e socioeconômico</w:t>
      </w:r>
      <w:r w:rsidR="00F27F7D">
        <w:rPr>
          <w:b/>
          <w:bCs/>
          <w:sz w:val="24"/>
          <w:szCs w:val="24"/>
        </w:rPr>
        <w:t xml:space="preserve">, </w:t>
      </w:r>
      <w:r w:rsidR="005A3905">
        <w:rPr>
          <w:b/>
          <w:bCs/>
          <w:sz w:val="24"/>
          <w:szCs w:val="24"/>
        </w:rPr>
        <w:t>e tem como</w:t>
      </w:r>
      <w:r w:rsidR="00670AC9">
        <w:rPr>
          <w:b/>
          <w:bCs/>
          <w:sz w:val="24"/>
          <w:szCs w:val="24"/>
        </w:rPr>
        <w:t xml:space="preserve"> </w:t>
      </w:r>
      <w:r w:rsidR="00F27F7D">
        <w:rPr>
          <w:b/>
          <w:bCs/>
          <w:sz w:val="24"/>
          <w:szCs w:val="24"/>
        </w:rPr>
        <w:t>objetivo</w:t>
      </w:r>
      <w:r w:rsidR="00670AC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e finalidades</w:t>
      </w:r>
      <w:r w:rsidR="00C56FE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Trabalhar em benefício de pessoas em vulnerabilidade social, pelo progresso da comunidade, prestar assistência social aos seus associados e dependentes: Colaboração na realização de pesquisa da situação socioeconômico dos moradores, observando os problemas existentes nas áreas de saúde, educação, trabalho, habitação, esporte, cultura, projetos produtivos, capacitações, saneamentos básicos, meio ambientes,</w:t>
      </w:r>
      <w:r w:rsidR="002267AB">
        <w:rPr>
          <w:b/>
          <w:bCs/>
          <w:sz w:val="24"/>
          <w:szCs w:val="24"/>
        </w:rPr>
        <w:t xml:space="preserve"> dentre outr</w:t>
      </w:r>
      <w:r w:rsidR="00F27F7D">
        <w:rPr>
          <w:b/>
          <w:bCs/>
          <w:sz w:val="24"/>
          <w:szCs w:val="24"/>
        </w:rPr>
        <w:t>o</w:t>
      </w:r>
      <w:r w:rsidR="002267AB">
        <w:rPr>
          <w:b/>
          <w:bCs/>
          <w:sz w:val="24"/>
          <w:szCs w:val="24"/>
        </w:rPr>
        <w:t xml:space="preserve">s. </w:t>
      </w:r>
    </w:p>
    <w:p w14:paraId="4FAAF80B" w14:textId="37F1E74F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9A28BC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151B128A" w14:textId="72D17C89" w:rsidR="00FF2D3D" w:rsidRDefault="006A66C1" w:rsidP="00670AC9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4561C518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042277CA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43C8014D" w14:textId="77777777" w:rsidR="009A28BC" w:rsidRPr="00AB0BCE" w:rsidRDefault="009A28BC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30B48A08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F27F7D">
        <w:rPr>
          <w:b/>
          <w:sz w:val="24"/>
          <w:szCs w:val="24"/>
        </w:rPr>
        <w:t>2</w:t>
      </w:r>
      <w:r w:rsidR="009A28BC">
        <w:rPr>
          <w:b/>
          <w:sz w:val="24"/>
          <w:szCs w:val="24"/>
        </w:rPr>
        <w:t>37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F27F7D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67E4884D" w:rsidR="006A66C1" w:rsidRPr="00AE0A31" w:rsidRDefault="00104744" w:rsidP="00AE0A3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B519B" w:rsidRPr="000E1CC7">
        <w:rPr>
          <w:rFonts w:eastAsia="Calibri"/>
          <w:sz w:val="24"/>
          <w:szCs w:val="24"/>
        </w:rPr>
        <w:t xml:space="preserve">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210E18">
        <w:rPr>
          <w:rFonts w:eastAsia="Calibri"/>
          <w:sz w:val="24"/>
          <w:szCs w:val="24"/>
        </w:rPr>
        <w:t>25</w:t>
      </w:r>
      <w:r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="00EB519B" w:rsidRPr="000E1CC7">
        <w:rPr>
          <w:rFonts w:eastAsia="Calibri"/>
          <w:sz w:val="24"/>
          <w:szCs w:val="24"/>
        </w:rPr>
        <w:t xml:space="preserve"> </w:t>
      </w:r>
      <w:r w:rsidR="00F27F7D">
        <w:rPr>
          <w:rFonts w:eastAsia="Calibri"/>
          <w:sz w:val="24"/>
          <w:szCs w:val="24"/>
        </w:rPr>
        <w:t>junho</w:t>
      </w:r>
      <w:r w:rsidR="00A7406A">
        <w:rPr>
          <w:rFonts w:eastAsia="Calibri"/>
          <w:sz w:val="24"/>
          <w:szCs w:val="24"/>
        </w:rPr>
        <w:t xml:space="preserve">      </w:t>
      </w:r>
      <w:r w:rsidR="00697C0D">
        <w:rPr>
          <w:rFonts w:eastAsia="Calibri"/>
          <w:sz w:val="24"/>
          <w:szCs w:val="24"/>
        </w:rPr>
        <w:t xml:space="preserve"> </w:t>
      </w:r>
      <w:r w:rsidR="00EB519B" w:rsidRPr="000E1CC7">
        <w:rPr>
          <w:rFonts w:eastAsia="Calibri"/>
          <w:sz w:val="24"/>
          <w:szCs w:val="24"/>
        </w:rPr>
        <w:t xml:space="preserve">de </w:t>
      </w:r>
      <w:r w:rsidR="00EB519B"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="00EB519B" w:rsidRPr="00925CAB">
        <w:rPr>
          <w:rFonts w:eastAsia="Calibri"/>
          <w:sz w:val="24"/>
          <w:szCs w:val="24"/>
        </w:rPr>
        <w:t xml:space="preserve">.  </w:t>
      </w:r>
      <w:r w:rsidR="00EB519B"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75452DB0" w14:textId="77777777" w:rsidR="007518D3" w:rsidRDefault="00D70C99" w:rsidP="007518D3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  <w:r w:rsidR="007518D3">
        <w:rPr>
          <w:rFonts w:eastAsia="Calibri"/>
          <w:b/>
          <w:color w:val="000000"/>
          <w:sz w:val="24"/>
          <w:szCs w:val="24"/>
        </w:rPr>
        <w:t>Presidente:</w:t>
      </w:r>
      <w:r w:rsidR="007518D3">
        <w:rPr>
          <w:rFonts w:eastAsia="Calibri"/>
          <w:bCs/>
          <w:color w:val="000000"/>
          <w:sz w:val="24"/>
          <w:szCs w:val="24"/>
        </w:rPr>
        <w:t xml:space="preserve"> Deputado Neto Evangelista</w:t>
      </w:r>
    </w:p>
    <w:p w14:paraId="79F6C247" w14:textId="77777777" w:rsidR="007518D3" w:rsidRDefault="007518D3" w:rsidP="007518D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</w:t>
      </w:r>
      <w:r>
        <w:rPr>
          <w:rFonts w:eastAsia="Calibri"/>
          <w:b/>
          <w:color w:val="000000"/>
          <w:sz w:val="24"/>
          <w:szCs w:val="24"/>
        </w:rPr>
        <w:t>Relator</w:t>
      </w:r>
      <w:r>
        <w:rPr>
          <w:rFonts w:eastAsia="Calibri"/>
          <w:color w:val="000000"/>
          <w:sz w:val="24"/>
          <w:szCs w:val="24"/>
        </w:rPr>
        <w:t>: Deputado Neto Evangelista</w:t>
      </w:r>
    </w:p>
    <w:p w14:paraId="0A881C0D" w14:textId="77777777" w:rsidR="007518D3" w:rsidRDefault="007518D3" w:rsidP="007518D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22A8D4C0" w14:textId="77777777" w:rsidR="007518D3" w:rsidRDefault="007518D3" w:rsidP="007518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Vota a favor:                                                         Vota contra:</w:t>
      </w:r>
    </w:p>
    <w:p w14:paraId="41F67BCD" w14:textId="77777777" w:rsidR="007518D3" w:rsidRDefault="007518D3" w:rsidP="007518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>Deputado Doutor Yglésio                                        ______________________________</w:t>
      </w:r>
    </w:p>
    <w:p w14:paraId="27F84E33" w14:textId="77777777" w:rsidR="007518D3" w:rsidRDefault="007518D3" w:rsidP="007518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 xml:space="preserve">Deputado Leandro </w:t>
      </w:r>
      <w:proofErr w:type="spellStart"/>
      <w:r>
        <w:rPr>
          <w:rFonts w:eastAsia="Calibri"/>
          <w:color w:val="000000"/>
          <w:sz w:val="24"/>
          <w:szCs w:val="24"/>
        </w:rPr>
        <w:t>Bello</w:t>
      </w:r>
      <w:proofErr w:type="spellEnd"/>
      <w:r>
        <w:rPr>
          <w:rFonts w:eastAsia="Calibri"/>
          <w:color w:val="000000"/>
          <w:sz w:val="24"/>
          <w:szCs w:val="24"/>
        </w:rPr>
        <w:t xml:space="preserve">                                          ______________________________</w:t>
      </w:r>
    </w:p>
    <w:p w14:paraId="7BDCD57D" w14:textId="77777777" w:rsidR="007518D3" w:rsidRDefault="007518D3" w:rsidP="007518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>Deputado Ariston                                                     _____________________________</w:t>
      </w:r>
    </w:p>
    <w:p w14:paraId="61F709E1" w14:textId="77777777" w:rsidR="007518D3" w:rsidRDefault="007518D3" w:rsidP="007518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>Deputado Florêncio Neto                                         ______________________________</w:t>
      </w:r>
    </w:p>
    <w:p w14:paraId="5D42E51D" w14:textId="77777777" w:rsidR="007518D3" w:rsidRDefault="007518D3" w:rsidP="007518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>Deputado Davi Brandão                                           ______________________________</w:t>
      </w:r>
    </w:p>
    <w:p w14:paraId="6A5C6459" w14:textId="77777777" w:rsidR="007518D3" w:rsidRDefault="007518D3" w:rsidP="007518D3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sz w:val="24"/>
          <w:szCs w:val="24"/>
          <w:lang w:eastAsia="en-US"/>
        </w:rPr>
      </w:pPr>
    </w:p>
    <w:p w14:paraId="758289DD" w14:textId="77777777" w:rsidR="007518D3" w:rsidRDefault="007518D3" w:rsidP="007518D3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83982C4" w14:textId="2BEFD3D4" w:rsidR="007518D3" w:rsidRDefault="007518D3" w:rsidP="007518D3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6E5B6D1D" w14:textId="68A7D100" w:rsidR="00104744" w:rsidRDefault="00104744" w:rsidP="0010474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294B7CA" w14:textId="77777777" w:rsidR="00104744" w:rsidRDefault="00104744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F61E2"/>
    <w:rsid w:val="000F69A1"/>
    <w:rsid w:val="00104744"/>
    <w:rsid w:val="00122213"/>
    <w:rsid w:val="00174393"/>
    <w:rsid w:val="001748CC"/>
    <w:rsid w:val="001E0F37"/>
    <w:rsid w:val="00210E18"/>
    <w:rsid w:val="00221E41"/>
    <w:rsid w:val="002267AB"/>
    <w:rsid w:val="00262298"/>
    <w:rsid w:val="00280203"/>
    <w:rsid w:val="002A5F47"/>
    <w:rsid w:val="002A698C"/>
    <w:rsid w:val="003216A3"/>
    <w:rsid w:val="00353B5E"/>
    <w:rsid w:val="00357BB1"/>
    <w:rsid w:val="0036129B"/>
    <w:rsid w:val="0036444D"/>
    <w:rsid w:val="003A4975"/>
    <w:rsid w:val="003E1B2C"/>
    <w:rsid w:val="00401A1C"/>
    <w:rsid w:val="00401A7F"/>
    <w:rsid w:val="00416485"/>
    <w:rsid w:val="00450458"/>
    <w:rsid w:val="00463535"/>
    <w:rsid w:val="00494F88"/>
    <w:rsid w:val="004A2511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518D3"/>
    <w:rsid w:val="00767393"/>
    <w:rsid w:val="007728CE"/>
    <w:rsid w:val="00787A24"/>
    <w:rsid w:val="007A5F1E"/>
    <w:rsid w:val="007B32A6"/>
    <w:rsid w:val="007E0ACA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312EC"/>
    <w:rsid w:val="00936325"/>
    <w:rsid w:val="00983EB8"/>
    <w:rsid w:val="009A28BC"/>
    <w:rsid w:val="009B32DA"/>
    <w:rsid w:val="00A3723B"/>
    <w:rsid w:val="00A46D0E"/>
    <w:rsid w:val="00A635A2"/>
    <w:rsid w:val="00A73537"/>
    <w:rsid w:val="00A7406A"/>
    <w:rsid w:val="00AB0BCE"/>
    <w:rsid w:val="00AC5E6E"/>
    <w:rsid w:val="00AD64E1"/>
    <w:rsid w:val="00AE0A31"/>
    <w:rsid w:val="00AE2A1A"/>
    <w:rsid w:val="00AF6026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55C35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0BA6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27843"/>
    <w:rsid w:val="00F27F7D"/>
    <w:rsid w:val="00F35408"/>
    <w:rsid w:val="00F5794F"/>
    <w:rsid w:val="00F75506"/>
    <w:rsid w:val="00F8535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2024-06-06T13:22:00Z</cp:lastPrinted>
  <dcterms:created xsi:type="dcterms:W3CDTF">2024-06-25T18:35:00Z</dcterms:created>
  <dcterms:modified xsi:type="dcterms:W3CDTF">2024-06-25T18:35:00Z</dcterms:modified>
</cp:coreProperties>
</file>