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5DD1" w14:textId="77777777" w:rsidR="006A66C1" w:rsidRPr="00314ED0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314ED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314ED0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314ED0">
        <w:rPr>
          <w:b/>
          <w:sz w:val="24"/>
          <w:szCs w:val="24"/>
          <w:u w:val="single"/>
        </w:rPr>
        <w:t>COMISSÃO DE CONSTITUIÇÃO, JUSTIÇA E CIDADANIA</w:t>
      </w:r>
    </w:p>
    <w:p w14:paraId="6B57E5A5" w14:textId="63A6E8D9" w:rsidR="006D7C52" w:rsidRPr="00314ED0" w:rsidRDefault="006A66C1" w:rsidP="0028020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314ED0">
        <w:rPr>
          <w:b/>
          <w:sz w:val="24"/>
          <w:szCs w:val="24"/>
          <w:u w:val="single"/>
        </w:rPr>
        <w:t>PARECER Nº</w:t>
      </w:r>
      <w:r w:rsidR="00670AC9" w:rsidRPr="00314ED0">
        <w:rPr>
          <w:b/>
          <w:sz w:val="24"/>
          <w:szCs w:val="24"/>
          <w:u w:val="single"/>
        </w:rPr>
        <w:t xml:space="preserve"> </w:t>
      </w:r>
      <w:r w:rsidR="00FB07C5">
        <w:rPr>
          <w:b/>
          <w:sz w:val="24"/>
          <w:szCs w:val="24"/>
          <w:u w:val="single"/>
        </w:rPr>
        <w:t>760</w:t>
      </w:r>
      <w:r w:rsidRPr="00314ED0">
        <w:rPr>
          <w:b/>
          <w:sz w:val="24"/>
          <w:szCs w:val="24"/>
          <w:u w:val="single"/>
        </w:rPr>
        <w:t>/202</w:t>
      </w:r>
      <w:r w:rsidR="00A7406A" w:rsidRPr="00314ED0">
        <w:rPr>
          <w:b/>
          <w:sz w:val="24"/>
          <w:szCs w:val="24"/>
          <w:u w:val="single"/>
        </w:rPr>
        <w:t>4</w:t>
      </w:r>
    </w:p>
    <w:p w14:paraId="235A8F55" w14:textId="77777777" w:rsidR="00FF2D3D" w:rsidRPr="00314ED0" w:rsidRDefault="00FF2D3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21465C95" w:rsidR="006A66C1" w:rsidRPr="00314ED0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14ED0">
        <w:rPr>
          <w:b/>
          <w:sz w:val="24"/>
          <w:szCs w:val="24"/>
          <w:u w:val="single"/>
        </w:rPr>
        <w:t>RELATÓRIO:</w:t>
      </w:r>
    </w:p>
    <w:p w14:paraId="518B45FD" w14:textId="153FBAD4" w:rsidR="00314ED0" w:rsidRPr="00314ED0" w:rsidRDefault="006A66C1" w:rsidP="00314ED0">
      <w:pPr>
        <w:spacing w:line="360" w:lineRule="auto"/>
        <w:ind w:firstLine="851"/>
        <w:jc w:val="both"/>
        <w:rPr>
          <w:sz w:val="24"/>
          <w:szCs w:val="24"/>
        </w:rPr>
      </w:pPr>
      <w:r w:rsidRPr="00314ED0">
        <w:rPr>
          <w:sz w:val="24"/>
          <w:szCs w:val="24"/>
        </w:rPr>
        <w:t xml:space="preserve">Tramita nesta Comissão Técnica, para análise e emissão de parecer, o </w:t>
      </w:r>
      <w:r w:rsidRPr="00314ED0">
        <w:rPr>
          <w:b/>
          <w:bCs/>
          <w:sz w:val="24"/>
          <w:szCs w:val="24"/>
        </w:rPr>
        <w:t>Projeto de             Lei nº</w:t>
      </w:r>
      <w:r w:rsidR="00A7406A" w:rsidRPr="00314ED0">
        <w:rPr>
          <w:b/>
          <w:bCs/>
          <w:sz w:val="24"/>
          <w:szCs w:val="24"/>
        </w:rPr>
        <w:t xml:space="preserve"> </w:t>
      </w:r>
      <w:r w:rsidR="00314ED0">
        <w:rPr>
          <w:b/>
          <w:bCs/>
          <w:sz w:val="24"/>
          <w:szCs w:val="24"/>
        </w:rPr>
        <w:t>377</w:t>
      </w:r>
      <w:r w:rsidR="00A7406A" w:rsidRPr="00314ED0">
        <w:rPr>
          <w:b/>
          <w:bCs/>
          <w:sz w:val="24"/>
          <w:szCs w:val="24"/>
        </w:rPr>
        <w:t>/2</w:t>
      </w:r>
      <w:r w:rsidR="00314ED0">
        <w:rPr>
          <w:b/>
          <w:bCs/>
          <w:sz w:val="24"/>
          <w:szCs w:val="24"/>
        </w:rPr>
        <w:t>024</w:t>
      </w:r>
      <w:r w:rsidRPr="00314ED0">
        <w:rPr>
          <w:color w:val="000000" w:themeColor="text1"/>
          <w:sz w:val="24"/>
          <w:szCs w:val="24"/>
        </w:rPr>
        <w:t xml:space="preserve">, </w:t>
      </w:r>
      <w:r w:rsidRPr="00314ED0">
        <w:rPr>
          <w:b/>
          <w:bCs/>
          <w:sz w:val="24"/>
          <w:szCs w:val="24"/>
        </w:rPr>
        <w:t>de autoria d</w:t>
      </w:r>
      <w:r w:rsidR="00FA5F9A" w:rsidRPr="00314ED0">
        <w:rPr>
          <w:b/>
          <w:bCs/>
          <w:sz w:val="24"/>
          <w:szCs w:val="24"/>
        </w:rPr>
        <w:t>a</w:t>
      </w:r>
      <w:r w:rsidRPr="00314ED0">
        <w:rPr>
          <w:b/>
          <w:bCs/>
          <w:sz w:val="24"/>
          <w:szCs w:val="24"/>
        </w:rPr>
        <w:t xml:space="preserve"> </w:t>
      </w:r>
      <w:r w:rsidR="00AC5E6E" w:rsidRPr="00314ED0">
        <w:rPr>
          <w:b/>
          <w:bCs/>
          <w:sz w:val="24"/>
          <w:szCs w:val="24"/>
        </w:rPr>
        <w:t>Senhor</w:t>
      </w:r>
      <w:r w:rsidR="00FA5F9A" w:rsidRPr="00314ED0">
        <w:rPr>
          <w:b/>
          <w:bCs/>
          <w:sz w:val="24"/>
          <w:szCs w:val="24"/>
        </w:rPr>
        <w:t>a</w:t>
      </w:r>
      <w:r w:rsidR="00AC5E6E" w:rsidRPr="00314ED0">
        <w:rPr>
          <w:b/>
          <w:bCs/>
          <w:sz w:val="24"/>
          <w:szCs w:val="24"/>
        </w:rPr>
        <w:t xml:space="preserve"> D</w:t>
      </w:r>
      <w:r w:rsidRPr="00314ED0">
        <w:rPr>
          <w:b/>
          <w:bCs/>
          <w:sz w:val="24"/>
          <w:szCs w:val="24"/>
        </w:rPr>
        <w:t>eputad</w:t>
      </w:r>
      <w:bookmarkStart w:id="0" w:name="_Hlk121727702"/>
      <w:r w:rsidR="00FA5F9A" w:rsidRPr="00314ED0">
        <w:rPr>
          <w:b/>
          <w:bCs/>
          <w:sz w:val="24"/>
          <w:szCs w:val="24"/>
        </w:rPr>
        <w:t>a Iracema Vale</w:t>
      </w:r>
      <w:r w:rsidR="005A3905" w:rsidRPr="00314ED0">
        <w:rPr>
          <w:b/>
          <w:bCs/>
          <w:sz w:val="24"/>
          <w:szCs w:val="24"/>
        </w:rPr>
        <w:t xml:space="preserve">, </w:t>
      </w:r>
      <w:r w:rsidR="00DB5DF7" w:rsidRPr="00314ED0">
        <w:rPr>
          <w:sz w:val="24"/>
          <w:szCs w:val="24"/>
        </w:rPr>
        <w:t>que</w:t>
      </w:r>
      <w:bookmarkEnd w:id="0"/>
      <w:r w:rsidR="00FB07C5">
        <w:rPr>
          <w:sz w:val="24"/>
          <w:szCs w:val="24"/>
        </w:rPr>
        <w:t xml:space="preserve"> </w:t>
      </w:r>
      <w:r w:rsidR="00314ED0" w:rsidRPr="00314ED0">
        <w:rPr>
          <w:sz w:val="24"/>
          <w:szCs w:val="24"/>
        </w:rPr>
        <w:t>“</w:t>
      </w:r>
      <w:r w:rsidR="00314ED0" w:rsidRPr="00314ED0">
        <w:rPr>
          <w:i/>
          <w:iCs/>
          <w:sz w:val="24"/>
          <w:szCs w:val="24"/>
        </w:rPr>
        <w:t>Estabelece diretrizes para a instituição da política de prevenção, atenção e reintegração social de dependentes de Drogas, no âmbito do Estado do Maranhão, e dá outras providências</w:t>
      </w:r>
      <w:r w:rsidR="00314ED0" w:rsidRPr="00314ED0">
        <w:rPr>
          <w:sz w:val="24"/>
          <w:szCs w:val="24"/>
        </w:rPr>
        <w:t>”.</w:t>
      </w:r>
    </w:p>
    <w:p w14:paraId="1AE4E07F" w14:textId="77777777" w:rsidR="00314ED0" w:rsidRPr="00314ED0" w:rsidRDefault="00314ED0" w:rsidP="00314ED0">
      <w:pPr>
        <w:spacing w:line="360" w:lineRule="auto"/>
        <w:ind w:firstLine="708"/>
        <w:jc w:val="both"/>
        <w:rPr>
          <w:sz w:val="24"/>
          <w:szCs w:val="24"/>
        </w:rPr>
      </w:pPr>
      <w:r w:rsidRPr="00314ED0">
        <w:rPr>
          <w:sz w:val="24"/>
          <w:szCs w:val="24"/>
        </w:rPr>
        <w:t xml:space="preserve">Em síntese, com o fim de instituir a política, o projeto estabelece princípios e diretrizes a serem observados no desenvolvimento das ações de prevenção, atenção e reintegração social de usuários e dependentes de drogas. </w:t>
      </w:r>
    </w:p>
    <w:p w14:paraId="4F18CE2A" w14:textId="4F1B595C" w:rsidR="00314ED0" w:rsidRPr="00314ED0" w:rsidRDefault="00314ED0" w:rsidP="00314ED0">
      <w:pPr>
        <w:spacing w:line="360" w:lineRule="auto"/>
        <w:jc w:val="both"/>
        <w:rPr>
          <w:sz w:val="24"/>
          <w:szCs w:val="24"/>
        </w:rPr>
      </w:pPr>
      <w:r w:rsidRPr="00314ED0">
        <w:rPr>
          <w:sz w:val="24"/>
          <w:szCs w:val="24"/>
        </w:rPr>
        <w:tab/>
        <w:t>Em sendo analisados os dispositivos do P</w:t>
      </w:r>
      <w:r w:rsidR="00FB07C5">
        <w:rPr>
          <w:sz w:val="24"/>
          <w:szCs w:val="24"/>
        </w:rPr>
        <w:t xml:space="preserve">rojeto de </w:t>
      </w:r>
      <w:r w:rsidRPr="00314ED0">
        <w:rPr>
          <w:sz w:val="24"/>
          <w:szCs w:val="24"/>
        </w:rPr>
        <w:t>L</w:t>
      </w:r>
      <w:r w:rsidR="00FB07C5">
        <w:rPr>
          <w:sz w:val="24"/>
          <w:szCs w:val="24"/>
        </w:rPr>
        <w:t xml:space="preserve">ei </w:t>
      </w:r>
      <w:r w:rsidRPr="00314ED0">
        <w:rPr>
          <w:sz w:val="24"/>
          <w:szCs w:val="24"/>
        </w:rPr>
        <w:t>n° 377/2024, verifica-se que trata essencialmente de proteção e defesa da saúde. Tema este que a Constituição Federal (CF</w:t>
      </w:r>
      <w:r w:rsidR="00FB07C5">
        <w:rPr>
          <w:sz w:val="24"/>
          <w:szCs w:val="24"/>
        </w:rPr>
        <w:t>/88</w:t>
      </w:r>
      <w:r w:rsidRPr="00314ED0">
        <w:rPr>
          <w:sz w:val="24"/>
          <w:szCs w:val="24"/>
        </w:rPr>
        <w:t>) de 1988, no artigo 24, inciso XII, incluiu entre os que competem concorrentemente à União, aos Estados e ao Distrito Federal legislar sobre. Disto resulta inequívoca competência estadual para dispor normativamente sobre a matéria. Vejamos:</w:t>
      </w:r>
    </w:p>
    <w:p w14:paraId="05AA025E" w14:textId="77777777" w:rsidR="00314ED0" w:rsidRPr="00314ED0" w:rsidRDefault="00314ED0" w:rsidP="00314ED0">
      <w:pPr>
        <w:ind w:left="2835"/>
        <w:contextualSpacing/>
        <w:jc w:val="both"/>
        <w:rPr>
          <w:sz w:val="24"/>
          <w:szCs w:val="24"/>
        </w:rPr>
      </w:pPr>
      <w:r w:rsidRPr="00314ED0">
        <w:rPr>
          <w:sz w:val="24"/>
          <w:szCs w:val="24"/>
        </w:rPr>
        <w:t> </w:t>
      </w:r>
      <w:bookmarkStart w:id="1" w:name="art24"/>
      <w:bookmarkStart w:id="2" w:name="cfart24"/>
      <w:bookmarkStart w:id="3" w:name="_Hlk176946761"/>
      <w:bookmarkEnd w:id="1"/>
      <w:bookmarkEnd w:id="2"/>
      <w:r w:rsidRPr="00314ED0">
        <w:rPr>
          <w:b/>
          <w:bCs/>
          <w:sz w:val="24"/>
          <w:szCs w:val="24"/>
        </w:rPr>
        <w:t>Art. 24.</w:t>
      </w:r>
      <w:r w:rsidRPr="00314ED0">
        <w:rPr>
          <w:sz w:val="24"/>
          <w:szCs w:val="24"/>
        </w:rPr>
        <w:t xml:space="preserve"> </w:t>
      </w:r>
      <w:r w:rsidRPr="00314ED0">
        <w:rPr>
          <w:b/>
          <w:bCs/>
          <w:sz w:val="24"/>
          <w:szCs w:val="24"/>
        </w:rPr>
        <w:t>Compete à União, aos Estados e ao Distrito Federal legislar concorrentemente sobre</w:t>
      </w:r>
      <w:r w:rsidRPr="00314ED0">
        <w:rPr>
          <w:sz w:val="24"/>
          <w:szCs w:val="24"/>
        </w:rPr>
        <w:t>:</w:t>
      </w:r>
    </w:p>
    <w:p w14:paraId="66299335" w14:textId="77777777" w:rsidR="00314ED0" w:rsidRPr="00314ED0" w:rsidRDefault="00314ED0" w:rsidP="00314ED0">
      <w:pPr>
        <w:ind w:left="2835"/>
        <w:contextualSpacing/>
        <w:jc w:val="both"/>
        <w:rPr>
          <w:sz w:val="24"/>
          <w:szCs w:val="24"/>
        </w:rPr>
      </w:pPr>
      <w:r w:rsidRPr="00314ED0">
        <w:rPr>
          <w:sz w:val="24"/>
          <w:szCs w:val="24"/>
        </w:rPr>
        <w:t>[...]</w:t>
      </w:r>
    </w:p>
    <w:p w14:paraId="640147E5" w14:textId="77777777" w:rsidR="00314ED0" w:rsidRPr="00314ED0" w:rsidRDefault="00314ED0" w:rsidP="00314ED0">
      <w:pPr>
        <w:ind w:left="2835"/>
        <w:contextualSpacing/>
        <w:jc w:val="both"/>
        <w:rPr>
          <w:sz w:val="24"/>
          <w:szCs w:val="24"/>
        </w:rPr>
      </w:pPr>
      <w:r w:rsidRPr="00314ED0">
        <w:rPr>
          <w:b/>
          <w:bCs/>
          <w:sz w:val="24"/>
          <w:szCs w:val="24"/>
        </w:rPr>
        <w:t xml:space="preserve">XII </w:t>
      </w:r>
      <w:r w:rsidRPr="00314ED0">
        <w:rPr>
          <w:sz w:val="24"/>
          <w:szCs w:val="24"/>
        </w:rPr>
        <w:t xml:space="preserve">- previdência social, </w:t>
      </w:r>
      <w:r w:rsidRPr="00314ED0">
        <w:rPr>
          <w:b/>
          <w:bCs/>
          <w:sz w:val="24"/>
          <w:szCs w:val="24"/>
        </w:rPr>
        <w:t>proteção e defesa da saúde</w:t>
      </w:r>
      <w:r w:rsidRPr="00314ED0">
        <w:rPr>
          <w:sz w:val="24"/>
          <w:szCs w:val="24"/>
        </w:rPr>
        <w:t>;  </w:t>
      </w:r>
    </w:p>
    <w:p w14:paraId="20300EC2" w14:textId="77777777" w:rsidR="00314ED0" w:rsidRPr="00314ED0" w:rsidRDefault="00314ED0" w:rsidP="00314ED0">
      <w:pPr>
        <w:ind w:left="2835"/>
        <w:contextualSpacing/>
        <w:jc w:val="both"/>
        <w:rPr>
          <w:sz w:val="24"/>
          <w:szCs w:val="24"/>
        </w:rPr>
      </w:pPr>
      <w:r w:rsidRPr="00314ED0">
        <w:rPr>
          <w:sz w:val="24"/>
          <w:szCs w:val="24"/>
        </w:rPr>
        <w:t>[...]</w:t>
      </w:r>
    </w:p>
    <w:p w14:paraId="6EB2F7E6" w14:textId="77777777" w:rsidR="00314ED0" w:rsidRPr="00314ED0" w:rsidRDefault="00314ED0" w:rsidP="00314ED0">
      <w:pPr>
        <w:ind w:left="2835"/>
        <w:contextualSpacing/>
        <w:jc w:val="both"/>
        <w:rPr>
          <w:sz w:val="24"/>
          <w:szCs w:val="24"/>
        </w:rPr>
      </w:pPr>
      <w:r w:rsidRPr="00314ED0">
        <w:rPr>
          <w:b/>
          <w:bCs/>
          <w:sz w:val="24"/>
          <w:szCs w:val="24"/>
        </w:rPr>
        <w:t>§ 1º</w:t>
      </w:r>
      <w:r w:rsidRPr="00314ED0">
        <w:rPr>
          <w:sz w:val="24"/>
          <w:szCs w:val="24"/>
        </w:rPr>
        <w:t xml:space="preserve"> No âmbito da legislação concorrente, a competência da </w:t>
      </w:r>
      <w:r w:rsidRPr="00314ED0">
        <w:rPr>
          <w:b/>
          <w:bCs/>
          <w:sz w:val="24"/>
          <w:szCs w:val="24"/>
        </w:rPr>
        <w:t>União limitar-se-á a estabelecer normas gerais</w:t>
      </w:r>
      <w:r w:rsidRPr="00314ED0">
        <w:rPr>
          <w:sz w:val="24"/>
          <w:szCs w:val="24"/>
        </w:rPr>
        <w:t>.     </w:t>
      </w:r>
    </w:p>
    <w:p w14:paraId="62DD2112" w14:textId="77777777" w:rsidR="00314ED0" w:rsidRPr="00314ED0" w:rsidRDefault="00314ED0" w:rsidP="00314ED0">
      <w:pPr>
        <w:ind w:left="2835"/>
        <w:contextualSpacing/>
        <w:jc w:val="both"/>
        <w:rPr>
          <w:sz w:val="24"/>
          <w:szCs w:val="24"/>
        </w:rPr>
      </w:pPr>
      <w:r w:rsidRPr="00314ED0">
        <w:rPr>
          <w:sz w:val="24"/>
          <w:szCs w:val="24"/>
        </w:rPr>
        <w:t xml:space="preserve">     </w:t>
      </w:r>
    </w:p>
    <w:p w14:paraId="584AACBE" w14:textId="77777777" w:rsidR="00314ED0" w:rsidRPr="00314ED0" w:rsidRDefault="00314ED0" w:rsidP="00314ED0">
      <w:pPr>
        <w:ind w:left="2835"/>
        <w:contextualSpacing/>
        <w:jc w:val="both"/>
        <w:rPr>
          <w:sz w:val="24"/>
          <w:szCs w:val="24"/>
        </w:rPr>
      </w:pPr>
      <w:bookmarkStart w:id="4" w:name="cfart24§2"/>
      <w:bookmarkEnd w:id="4"/>
      <w:r w:rsidRPr="00314ED0">
        <w:rPr>
          <w:b/>
          <w:bCs/>
          <w:sz w:val="24"/>
          <w:szCs w:val="24"/>
        </w:rPr>
        <w:t>§ 2º</w:t>
      </w:r>
      <w:r w:rsidRPr="00314ED0">
        <w:rPr>
          <w:sz w:val="24"/>
          <w:szCs w:val="24"/>
        </w:rPr>
        <w:t xml:space="preserve"> </w:t>
      </w:r>
      <w:r w:rsidRPr="00314ED0">
        <w:rPr>
          <w:b/>
          <w:bCs/>
          <w:sz w:val="24"/>
          <w:szCs w:val="24"/>
        </w:rPr>
        <w:t>A competência da União para legislar sobre normas gerais não exclui a competência suplementar dos Estados</w:t>
      </w:r>
      <w:r w:rsidRPr="00314ED0">
        <w:rPr>
          <w:sz w:val="24"/>
          <w:szCs w:val="24"/>
        </w:rPr>
        <w:t>.  </w:t>
      </w:r>
    </w:p>
    <w:p w14:paraId="43D1E2DE" w14:textId="77777777" w:rsidR="00314ED0" w:rsidRPr="00314ED0" w:rsidRDefault="00314ED0" w:rsidP="00314ED0">
      <w:pPr>
        <w:ind w:left="2835"/>
        <w:contextualSpacing/>
        <w:jc w:val="both"/>
        <w:rPr>
          <w:sz w:val="24"/>
          <w:szCs w:val="24"/>
        </w:rPr>
      </w:pPr>
      <w:r w:rsidRPr="00314ED0">
        <w:rPr>
          <w:sz w:val="24"/>
          <w:szCs w:val="24"/>
        </w:rPr>
        <w:t xml:space="preserve">        </w:t>
      </w:r>
    </w:p>
    <w:p w14:paraId="65F9436D" w14:textId="77777777" w:rsidR="00314ED0" w:rsidRPr="00314ED0" w:rsidRDefault="00314ED0" w:rsidP="00314ED0">
      <w:pPr>
        <w:ind w:left="2835"/>
        <w:contextualSpacing/>
        <w:jc w:val="both"/>
        <w:rPr>
          <w:sz w:val="24"/>
          <w:szCs w:val="24"/>
        </w:rPr>
      </w:pPr>
      <w:bookmarkStart w:id="5" w:name="cfart24§3"/>
      <w:bookmarkEnd w:id="5"/>
      <w:r w:rsidRPr="00314ED0">
        <w:rPr>
          <w:b/>
          <w:bCs/>
          <w:sz w:val="24"/>
          <w:szCs w:val="24"/>
        </w:rPr>
        <w:t>§ 3º</w:t>
      </w:r>
      <w:r w:rsidRPr="00314ED0">
        <w:rPr>
          <w:sz w:val="24"/>
          <w:szCs w:val="24"/>
        </w:rPr>
        <w:t xml:space="preserve"> Inexistindo lei federal sobre normas gerais, os Estados exercerão a competência legislativa plena, para atender a suas peculiaridades.   </w:t>
      </w:r>
    </w:p>
    <w:p w14:paraId="269C9234" w14:textId="77777777" w:rsidR="00314ED0" w:rsidRPr="00314ED0" w:rsidRDefault="00314ED0" w:rsidP="00314ED0">
      <w:pPr>
        <w:ind w:left="2835"/>
        <w:contextualSpacing/>
        <w:jc w:val="both"/>
        <w:rPr>
          <w:sz w:val="24"/>
          <w:szCs w:val="24"/>
        </w:rPr>
      </w:pPr>
      <w:r w:rsidRPr="00314ED0">
        <w:rPr>
          <w:sz w:val="24"/>
          <w:szCs w:val="24"/>
        </w:rPr>
        <w:t xml:space="preserve">       </w:t>
      </w:r>
    </w:p>
    <w:p w14:paraId="5FA1940E" w14:textId="77777777" w:rsidR="00314ED0" w:rsidRPr="00314ED0" w:rsidRDefault="00314ED0" w:rsidP="00314ED0">
      <w:pPr>
        <w:ind w:left="2835"/>
        <w:contextualSpacing/>
        <w:jc w:val="both"/>
        <w:rPr>
          <w:sz w:val="24"/>
          <w:szCs w:val="24"/>
        </w:rPr>
      </w:pPr>
      <w:bookmarkStart w:id="6" w:name="cfart24§4"/>
      <w:bookmarkEnd w:id="6"/>
      <w:r w:rsidRPr="00314ED0">
        <w:rPr>
          <w:b/>
          <w:bCs/>
          <w:sz w:val="24"/>
          <w:szCs w:val="24"/>
        </w:rPr>
        <w:t xml:space="preserve">§ 4º </w:t>
      </w:r>
      <w:r w:rsidRPr="00314ED0">
        <w:rPr>
          <w:sz w:val="24"/>
          <w:szCs w:val="24"/>
        </w:rPr>
        <w:t xml:space="preserve">A superveniência de lei federal sobre normas gerais suspende a eficácia da lei estadual, no que lhe for contrário.          </w:t>
      </w:r>
      <w:bookmarkEnd w:id="3"/>
    </w:p>
    <w:p w14:paraId="54B9BBA5" w14:textId="77777777" w:rsidR="00314ED0" w:rsidRPr="00314ED0" w:rsidRDefault="00314ED0" w:rsidP="00314ED0">
      <w:pPr>
        <w:ind w:left="2835"/>
        <w:contextualSpacing/>
        <w:jc w:val="both"/>
        <w:rPr>
          <w:sz w:val="24"/>
          <w:szCs w:val="24"/>
        </w:rPr>
      </w:pPr>
    </w:p>
    <w:p w14:paraId="1A66680F" w14:textId="77777777" w:rsidR="00FB07C5" w:rsidRDefault="00FB07C5" w:rsidP="00314ED0">
      <w:pPr>
        <w:spacing w:line="360" w:lineRule="auto"/>
        <w:ind w:firstLine="708"/>
        <w:jc w:val="both"/>
        <w:rPr>
          <w:sz w:val="24"/>
          <w:szCs w:val="24"/>
        </w:rPr>
      </w:pPr>
    </w:p>
    <w:p w14:paraId="1865DD7C" w14:textId="77777777" w:rsidR="00FB07C5" w:rsidRDefault="00FB07C5" w:rsidP="00314ED0">
      <w:pPr>
        <w:spacing w:line="360" w:lineRule="auto"/>
        <w:ind w:firstLine="708"/>
        <w:jc w:val="both"/>
        <w:rPr>
          <w:sz w:val="24"/>
          <w:szCs w:val="24"/>
        </w:rPr>
      </w:pPr>
    </w:p>
    <w:p w14:paraId="74608B9E" w14:textId="12818305" w:rsidR="00314ED0" w:rsidRDefault="00314ED0" w:rsidP="00314ED0">
      <w:pPr>
        <w:spacing w:line="360" w:lineRule="auto"/>
        <w:ind w:firstLine="708"/>
        <w:jc w:val="both"/>
        <w:rPr>
          <w:sz w:val="24"/>
          <w:szCs w:val="24"/>
        </w:rPr>
      </w:pPr>
      <w:r w:rsidRPr="00314ED0">
        <w:rPr>
          <w:sz w:val="24"/>
          <w:szCs w:val="24"/>
        </w:rPr>
        <w:lastRenderedPageBreak/>
        <w:t xml:space="preserve">Na forma dos dispositivos constitucionais supracitados, no que tange às matérias de competência concorrente, a União tem o papel de editar normas gerais e os Estados podem suplementá-las. Quando da inexistência de </w:t>
      </w:r>
      <w:r w:rsidR="00FB07C5">
        <w:rPr>
          <w:sz w:val="24"/>
          <w:szCs w:val="24"/>
        </w:rPr>
        <w:t>L</w:t>
      </w:r>
      <w:r w:rsidRPr="00314ED0">
        <w:rPr>
          <w:sz w:val="24"/>
          <w:szCs w:val="24"/>
        </w:rPr>
        <w:t xml:space="preserve">ei </w:t>
      </w:r>
      <w:r w:rsidR="00FB07C5">
        <w:rPr>
          <w:sz w:val="24"/>
          <w:szCs w:val="24"/>
        </w:rPr>
        <w:t>F</w:t>
      </w:r>
      <w:r w:rsidRPr="00314ED0">
        <w:rPr>
          <w:sz w:val="24"/>
          <w:szCs w:val="24"/>
        </w:rPr>
        <w:t xml:space="preserve">ederal sobre normas gerais, os Estados exercerão a competência legislativa plena, para tratar de suas especificidades. </w:t>
      </w:r>
    </w:p>
    <w:p w14:paraId="26EF4B42" w14:textId="65F36DB1" w:rsidR="00FB07C5" w:rsidRPr="00FB07C5" w:rsidRDefault="00FB07C5" w:rsidP="00FB07C5">
      <w:pPr>
        <w:spacing w:line="360" w:lineRule="auto"/>
        <w:ind w:firstLine="1134"/>
        <w:jc w:val="both"/>
        <w:rPr>
          <w:sz w:val="24"/>
          <w:szCs w:val="24"/>
        </w:rPr>
      </w:pPr>
      <w:r w:rsidRPr="00FB07C5">
        <w:rPr>
          <w:sz w:val="24"/>
          <w:szCs w:val="24"/>
        </w:rPr>
        <w:t xml:space="preserve">No que concerne aos aspectos constitucionais, não vislumbramos óbices impedientes à tramitação da matéria apresentada, que define regras gerais, </w:t>
      </w:r>
      <w:r w:rsidRPr="00FB07C5">
        <w:rPr>
          <w:b/>
          <w:bCs/>
          <w:sz w:val="24"/>
          <w:szCs w:val="24"/>
        </w:rPr>
        <w:t>diretrizes</w:t>
      </w:r>
      <w:r w:rsidRPr="00FB07C5">
        <w:rPr>
          <w:sz w:val="24"/>
          <w:szCs w:val="24"/>
        </w:rPr>
        <w:t xml:space="preserve"> e </w:t>
      </w:r>
      <w:r w:rsidRPr="00FB07C5">
        <w:rPr>
          <w:b/>
          <w:bCs/>
          <w:sz w:val="24"/>
          <w:szCs w:val="24"/>
        </w:rPr>
        <w:t>objetivos</w:t>
      </w:r>
      <w:r w:rsidRPr="00FB07C5">
        <w:rPr>
          <w:sz w:val="24"/>
          <w:szCs w:val="24"/>
        </w:rPr>
        <w:t xml:space="preserve"> que </w:t>
      </w:r>
      <w:r w:rsidRPr="00FB07C5">
        <w:rPr>
          <w:i/>
          <w:iCs/>
          <w:sz w:val="24"/>
          <w:szCs w:val="24"/>
        </w:rPr>
        <w:t>nortearão para a instituição da política de prevenção, atenção e reintegração social de dependentes de Drogas</w:t>
      </w:r>
      <w:r w:rsidRPr="00FB07C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no âmbito do Estado do Maranhão, </w:t>
      </w:r>
      <w:r w:rsidRPr="00FB07C5">
        <w:rPr>
          <w:sz w:val="24"/>
          <w:szCs w:val="24"/>
        </w:rPr>
        <w:t>uma vez que, nesse caso, a atividade legislativa opera no plano da abstração e da generalidade, não avançando a ponto de minudenciar a ação executiva, o que esvaziaria a atuação institucional do Executivo e contrariaria o princípio constitucional da separação e independência dos Poderes.</w:t>
      </w:r>
    </w:p>
    <w:p w14:paraId="4526F399" w14:textId="37F5354C" w:rsidR="00FB07C5" w:rsidRPr="00FB07C5" w:rsidRDefault="00FB07C5" w:rsidP="00FB07C5">
      <w:pPr>
        <w:spacing w:line="360" w:lineRule="auto"/>
        <w:ind w:firstLine="1134"/>
        <w:jc w:val="both"/>
        <w:rPr>
          <w:sz w:val="24"/>
          <w:szCs w:val="24"/>
        </w:rPr>
      </w:pPr>
      <w:r w:rsidRPr="00FB07C5">
        <w:rPr>
          <w:sz w:val="24"/>
          <w:szCs w:val="24"/>
        </w:rPr>
        <w:t>A propósito, é importante mencionar que esta Comissão de Constituição</w:t>
      </w:r>
      <w:r>
        <w:rPr>
          <w:sz w:val="24"/>
          <w:szCs w:val="24"/>
        </w:rPr>
        <w:t xml:space="preserve">, </w:t>
      </w:r>
      <w:r w:rsidRPr="00FB07C5">
        <w:rPr>
          <w:sz w:val="24"/>
          <w:szCs w:val="24"/>
        </w:rPr>
        <w:t>Justiça</w:t>
      </w:r>
      <w:r>
        <w:rPr>
          <w:sz w:val="24"/>
          <w:szCs w:val="24"/>
        </w:rPr>
        <w:t xml:space="preserve"> e Cidadania</w:t>
      </w:r>
      <w:r w:rsidRPr="00FB07C5">
        <w:rPr>
          <w:sz w:val="24"/>
          <w:szCs w:val="24"/>
        </w:rPr>
        <w:t xml:space="preserve"> já firmou o entendimento de que Projeto de Lei, ainda que de iniciativa parlamentar, pode fixar diretrizes para a formulação de políticas públicas estaduais, não se admitindo, todavia, que a proposição entre em detalhes ou disponha sobre programas decorrentes dessa política. Assim, as ações que serão implementadas dentro de uma determinada política pública devem ser desenvolvidas pelo Poder Executivo e submetem-se a critérios de conveniência e oportunidade definidos por esse Poder, uma vez que a opção por uma medida ou por outra deve levar em consideração uma série de aspectos ou fatores, tais como as prioridades políticas, as questões técnicas, o planejamento administrativo estabelecido para a área e os interesses da comunidade.</w:t>
      </w:r>
    </w:p>
    <w:p w14:paraId="025C1F82" w14:textId="5A2B99CB" w:rsidR="00FB07C5" w:rsidRPr="00FB07C5" w:rsidRDefault="00FB07C5" w:rsidP="00FB07C5">
      <w:pPr>
        <w:spacing w:line="360" w:lineRule="auto"/>
        <w:ind w:firstLine="1134"/>
        <w:jc w:val="both"/>
        <w:rPr>
          <w:sz w:val="24"/>
          <w:szCs w:val="24"/>
        </w:rPr>
      </w:pPr>
      <w:r w:rsidRPr="00FB07C5">
        <w:rPr>
          <w:sz w:val="24"/>
          <w:szCs w:val="24"/>
        </w:rPr>
        <w:t xml:space="preserve">Assim sendo, do ponto de vista jurídico-constitucional, opinamos que a proposição encaminhada pode prosperar, na medida em que se limite a estabelecer regras gerais, </w:t>
      </w:r>
      <w:r w:rsidRPr="00FB07C5">
        <w:rPr>
          <w:b/>
          <w:bCs/>
          <w:sz w:val="24"/>
          <w:szCs w:val="24"/>
        </w:rPr>
        <w:t xml:space="preserve">diretrizes </w:t>
      </w:r>
      <w:r w:rsidRPr="00FB07C5">
        <w:rPr>
          <w:sz w:val="24"/>
          <w:szCs w:val="24"/>
        </w:rPr>
        <w:t>e</w:t>
      </w:r>
      <w:r w:rsidRPr="00FB07C5">
        <w:rPr>
          <w:b/>
          <w:bCs/>
          <w:sz w:val="24"/>
          <w:szCs w:val="24"/>
        </w:rPr>
        <w:t xml:space="preserve"> objetivos</w:t>
      </w:r>
      <w:r w:rsidRPr="00FB07C5">
        <w:rPr>
          <w:sz w:val="24"/>
          <w:szCs w:val="24"/>
        </w:rPr>
        <w:t xml:space="preserve"> que servirão de referência para a formulação de uma política estadual de prevenção, atenção e reintegração social de dependentes de Drogas</w:t>
      </w:r>
      <w:r>
        <w:rPr>
          <w:sz w:val="24"/>
          <w:szCs w:val="24"/>
        </w:rPr>
        <w:t xml:space="preserve"> no âmbito do Estado do Maranhão.</w:t>
      </w:r>
    </w:p>
    <w:p w14:paraId="2331796C" w14:textId="49113AB7" w:rsidR="00FB07C5" w:rsidRPr="00FB07C5" w:rsidRDefault="00FB07C5" w:rsidP="00FB07C5">
      <w:pPr>
        <w:spacing w:line="360" w:lineRule="auto"/>
        <w:ind w:firstLine="1134"/>
        <w:jc w:val="both"/>
        <w:rPr>
          <w:sz w:val="24"/>
          <w:szCs w:val="24"/>
        </w:rPr>
      </w:pPr>
      <w:r w:rsidRPr="00FB07C5">
        <w:rPr>
          <w:sz w:val="24"/>
          <w:szCs w:val="24"/>
        </w:rPr>
        <w:t>No mais, não vislumbramos nenhuma inconstitucionalidade formal no Projeto</w:t>
      </w:r>
      <w:r>
        <w:rPr>
          <w:sz w:val="24"/>
          <w:szCs w:val="24"/>
        </w:rPr>
        <w:t xml:space="preserve"> de Lei</w:t>
      </w:r>
      <w:r w:rsidRPr="00FB07C5">
        <w:rPr>
          <w:sz w:val="24"/>
          <w:szCs w:val="24"/>
        </w:rPr>
        <w:t xml:space="preserve"> em análise, pois pensar diferente é realizar uma interpretação ampliativa da reserva de iniciativa do Poder Executivo e assim resultar no esvaziamento da função de legislar do Poder Legislativo dos Estados Federados. No tocante a análise da constitucionalidade material também não há nenhuma irregularidade.</w:t>
      </w:r>
    </w:p>
    <w:p w14:paraId="3D500551" w14:textId="5C139759" w:rsidR="006A66C1" w:rsidRPr="00314ED0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14ED0">
        <w:rPr>
          <w:b/>
          <w:sz w:val="24"/>
          <w:szCs w:val="24"/>
          <w:u w:val="single"/>
        </w:rPr>
        <w:lastRenderedPageBreak/>
        <w:t>VOTO DO RELATOR:</w:t>
      </w:r>
    </w:p>
    <w:p w14:paraId="4786B628" w14:textId="6C960055" w:rsidR="00DB5DF7" w:rsidRPr="00314ED0" w:rsidRDefault="00DB5DF7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314ED0">
        <w:rPr>
          <w:sz w:val="24"/>
          <w:szCs w:val="24"/>
        </w:rPr>
        <w:t xml:space="preserve">Diante do exposto, e pelas razões ora apresentadas, opinamos pela </w:t>
      </w:r>
      <w:r w:rsidR="00FB07C5">
        <w:rPr>
          <w:sz w:val="24"/>
          <w:szCs w:val="24"/>
        </w:rPr>
        <w:t xml:space="preserve">aprovação </w:t>
      </w:r>
      <w:r w:rsidRPr="00314ED0">
        <w:rPr>
          <w:sz w:val="24"/>
          <w:szCs w:val="24"/>
        </w:rPr>
        <w:t xml:space="preserve">do </w:t>
      </w:r>
      <w:r w:rsidR="00FB07C5">
        <w:rPr>
          <w:sz w:val="24"/>
          <w:szCs w:val="24"/>
        </w:rPr>
        <w:t>P</w:t>
      </w:r>
      <w:r w:rsidRPr="00314ED0">
        <w:rPr>
          <w:sz w:val="24"/>
          <w:szCs w:val="24"/>
        </w:rPr>
        <w:t>rojeto</w:t>
      </w:r>
      <w:r w:rsidR="00FB07C5">
        <w:rPr>
          <w:sz w:val="24"/>
          <w:szCs w:val="24"/>
        </w:rPr>
        <w:t xml:space="preserve"> de Lei</w:t>
      </w:r>
      <w:r w:rsidRPr="00314ED0">
        <w:rPr>
          <w:sz w:val="24"/>
          <w:szCs w:val="24"/>
        </w:rPr>
        <w:t xml:space="preserve"> ora em comento</w:t>
      </w:r>
      <w:r w:rsidR="00FB07C5">
        <w:rPr>
          <w:sz w:val="24"/>
          <w:szCs w:val="24"/>
        </w:rPr>
        <w:t>,</w:t>
      </w:r>
      <w:r w:rsidRPr="00314ED0">
        <w:rPr>
          <w:sz w:val="24"/>
          <w:szCs w:val="24"/>
        </w:rPr>
        <w:t xml:space="preserve"> em face de sua constitucionalidade.</w:t>
      </w:r>
    </w:p>
    <w:p w14:paraId="18FC125F" w14:textId="1351E339" w:rsidR="006A66C1" w:rsidRPr="00314ED0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314ED0">
        <w:rPr>
          <w:sz w:val="24"/>
          <w:szCs w:val="24"/>
        </w:rPr>
        <w:t>É o voto.</w:t>
      </w:r>
    </w:p>
    <w:p w14:paraId="6CD15412" w14:textId="77777777" w:rsidR="00494F88" w:rsidRPr="00314ED0" w:rsidRDefault="00494F88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3098F70C" w14:textId="7B134637" w:rsidR="006A66C1" w:rsidRPr="00314ED0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14ED0">
        <w:rPr>
          <w:b/>
          <w:sz w:val="24"/>
          <w:szCs w:val="24"/>
          <w:u w:val="single"/>
        </w:rPr>
        <w:t>P</w:t>
      </w:r>
      <w:r w:rsidR="006A66C1" w:rsidRPr="00314ED0">
        <w:rPr>
          <w:b/>
          <w:sz w:val="24"/>
          <w:szCs w:val="24"/>
          <w:u w:val="single"/>
        </w:rPr>
        <w:t>ARECER DA COMISSÃO:</w:t>
      </w:r>
    </w:p>
    <w:p w14:paraId="49FCC5A6" w14:textId="6673A86A" w:rsidR="00C01136" w:rsidRPr="00314ED0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 w:rsidRPr="00314ED0">
        <w:rPr>
          <w:rFonts w:eastAsia="Calibri"/>
          <w:sz w:val="24"/>
          <w:szCs w:val="24"/>
        </w:rPr>
        <w:t xml:space="preserve">                 </w:t>
      </w:r>
      <w:r w:rsidR="00EC72CD" w:rsidRPr="00314ED0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314ED0">
        <w:rPr>
          <w:rFonts w:eastAsia="Batang"/>
          <w:bCs/>
          <w:kern w:val="32"/>
          <w:sz w:val="24"/>
          <w:szCs w:val="24"/>
        </w:rPr>
        <w:t xml:space="preserve">votam pela </w:t>
      </w:r>
      <w:r w:rsidR="00FB07C5">
        <w:rPr>
          <w:rFonts w:eastAsia="Batang"/>
          <w:b/>
          <w:kern w:val="32"/>
          <w:sz w:val="24"/>
          <w:szCs w:val="24"/>
        </w:rPr>
        <w:t>aprovação</w:t>
      </w:r>
      <w:r w:rsidR="00DB5DF7" w:rsidRPr="00314ED0">
        <w:rPr>
          <w:rFonts w:eastAsia="Batang"/>
          <w:b/>
          <w:kern w:val="32"/>
          <w:sz w:val="24"/>
          <w:szCs w:val="24"/>
        </w:rPr>
        <w:t xml:space="preserve"> </w:t>
      </w:r>
      <w:r w:rsidR="00C01136" w:rsidRPr="00314ED0">
        <w:rPr>
          <w:b/>
          <w:sz w:val="24"/>
          <w:szCs w:val="24"/>
        </w:rPr>
        <w:t xml:space="preserve">do Projeto de Lei nº </w:t>
      </w:r>
      <w:r w:rsidR="00314ED0">
        <w:rPr>
          <w:b/>
          <w:sz w:val="24"/>
          <w:szCs w:val="24"/>
        </w:rPr>
        <w:t>377</w:t>
      </w:r>
      <w:r w:rsidR="00C01136" w:rsidRPr="00314ED0">
        <w:rPr>
          <w:b/>
          <w:color w:val="000000" w:themeColor="text1"/>
          <w:sz w:val="24"/>
          <w:szCs w:val="24"/>
        </w:rPr>
        <w:t>/202</w:t>
      </w:r>
      <w:r w:rsidR="00314ED0">
        <w:rPr>
          <w:b/>
          <w:color w:val="000000" w:themeColor="text1"/>
          <w:sz w:val="24"/>
          <w:szCs w:val="24"/>
        </w:rPr>
        <w:t>4</w:t>
      </w:r>
      <w:r w:rsidR="00C01136" w:rsidRPr="00314ED0">
        <w:rPr>
          <w:color w:val="000000" w:themeColor="text1"/>
          <w:sz w:val="24"/>
          <w:szCs w:val="24"/>
        </w:rPr>
        <w:t xml:space="preserve"> nos </w:t>
      </w:r>
      <w:r w:rsidR="00C01136" w:rsidRPr="00314ED0">
        <w:rPr>
          <w:sz w:val="24"/>
          <w:szCs w:val="24"/>
        </w:rPr>
        <w:t>termos do voto do Relator.</w:t>
      </w:r>
    </w:p>
    <w:p w14:paraId="792F8DD6" w14:textId="35F65BD7" w:rsidR="00EB519B" w:rsidRPr="00314ED0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314ED0">
        <w:rPr>
          <w:sz w:val="24"/>
          <w:szCs w:val="24"/>
        </w:rPr>
        <w:t>É o parecer.</w:t>
      </w:r>
    </w:p>
    <w:p w14:paraId="5A440B28" w14:textId="0EE896AE" w:rsidR="00DB5DF7" w:rsidRPr="00314ED0" w:rsidRDefault="00EB519B" w:rsidP="00DB5DF7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14ED0">
        <w:rPr>
          <w:rFonts w:eastAsia="Calibri"/>
          <w:sz w:val="24"/>
          <w:szCs w:val="24"/>
        </w:rPr>
        <w:t xml:space="preserve">                </w:t>
      </w:r>
      <w:r w:rsidR="00DB5DF7" w:rsidRPr="00314ED0">
        <w:rPr>
          <w:rFonts w:eastAsia="Calibri"/>
          <w:sz w:val="24"/>
          <w:szCs w:val="24"/>
          <w:lang w:eastAsia="en-US"/>
        </w:rPr>
        <w:t xml:space="preserve">SALA DAS COMISSÕES DEPUTADO “LÉO FRANKLIM”, em </w:t>
      </w:r>
      <w:r w:rsidR="00FB07C5">
        <w:rPr>
          <w:rFonts w:eastAsia="Calibri"/>
          <w:sz w:val="24"/>
          <w:szCs w:val="24"/>
          <w:lang w:eastAsia="en-US"/>
        </w:rPr>
        <w:t>22</w:t>
      </w:r>
      <w:r w:rsidR="00DB5DF7" w:rsidRPr="00314ED0">
        <w:rPr>
          <w:rFonts w:eastAsia="Calibri"/>
          <w:sz w:val="24"/>
          <w:szCs w:val="24"/>
          <w:lang w:eastAsia="en-US"/>
        </w:rPr>
        <w:t xml:space="preserve"> de </w:t>
      </w:r>
      <w:r w:rsidR="00FB07C5">
        <w:rPr>
          <w:rFonts w:eastAsia="Calibri"/>
          <w:sz w:val="24"/>
          <w:szCs w:val="24"/>
          <w:lang w:eastAsia="en-US"/>
        </w:rPr>
        <w:t>outubro</w:t>
      </w:r>
      <w:r w:rsidR="00DB5DF7" w:rsidRPr="00314ED0">
        <w:rPr>
          <w:rFonts w:eastAsia="Calibri"/>
          <w:sz w:val="24"/>
          <w:szCs w:val="24"/>
          <w:lang w:eastAsia="en-US"/>
        </w:rPr>
        <w:t xml:space="preserve"> de 2024.   </w:t>
      </w:r>
      <w:r w:rsidR="00DB5DF7" w:rsidRPr="00314ED0">
        <w:rPr>
          <w:rFonts w:eastAsia="Calibri"/>
          <w:color w:val="000000"/>
          <w:sz w:val="24"/>
          <w:szCs w:val="24"/>
          <w:lang w:eastAsia="en-US"/>
        </w:rPr>
        <w:t xml:space="preserve">        </w:t>
      </w:r>
    </w:p>
    <w:p w14:paraId="7F6CE873" w14:textId="77777777" w:rsidR="00DB5DF7" w:rsidRPr="00314ED0" w:rsidRDefault="00DB5DF7" w:rsidP="00DB5DF7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b/>
          <w:bCs/>
          <w:color w:val="000000"/>
          <w:sz w:val="24"/>
          <w:szCs w:val="24"/>
        </w:rPr>
      </w:pPr>
      <w:r w:rsidRPr="00314ED0">
        <w:rPr>
          <w:b/>
          <w:bCs/>
          <w:color w:val="000000"/>
          <w:sz w:val="24"/>
          <w:szCs w:val="24"/>
        </w:rPr>
        <w:t xml:space="preserve">                                                               </w:t>
      </w:r>
    </w:p>
    <w:p w14:paraId="346C5030" w14:textId="19A82A68" w:rsidR="00824D67" w:rsidRDefault="00DB5DF7" w:rsidP="00824D67">
      <w:pPr>
        <w:autoSpaceDE w:val="0"/>
        <w:autoSpaceDN w:val="0"/>
        <w:adjustRightInd w:val="0"/>
        <w:spacing w:after="200" w:line="360" w:lineRule="auto"/>
        <w:ind w:left="3544" w:hanging="3544"/>
        <w:jc w:val="both"/>
        <w:rPr>
          <w:color w:val="000000"/>
          <w:sz w:val="22"/>
          <w:szCs w:val="22"/>
          <w:lang w:eastAsia="en-US"/>
        </w:rPr>
      </w:pPr>
      <w:r w:rsidRPr="00314ED0">
        <w:rPr>
          <w:b/>
          <w:bCs/>
          <w:color w:val="000000"/>
          <w:sz w:val="24"/>
          <w:szCs w:val="24"/>
        </w:rPr>
        <w:t xml:space="preserve">                                                               </w:t>
      </w:r>
      <w:r w:rsidR="00824D67">
        <w:rPr>
          <w:b/>
          <w:color w:val="000000"/>
          <w:sz w:val="22"/>
          <w:szCs w:val="22"/>
          <w:lang w:eastAsia="en-US"/>
        </w:rPr>
        <w:t>Presidente</w:t>
      </w:r>
      <w:r w:rsidR="00824D67">
        <w:rPr>
          <w:color w:val="000000"/>
          <w:sz w:val="22"/>
          <w:szCs w:val="22"/>
          <w:lang w:eastAsia="en-US"/>
        </w:rPr>
        <w:t>: Deputado Neto Evangelista</w:t>
      </w:r>
    </w:p>
    <w:p w14:paraId="3A4CFFA1" w14:textId="119194FE" w:rsidR="00824D67" w:rsidRDefault="00824D67" w:rsidP="00824D67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   Relator: </w:t>
      </w:r>
      <w:r>
        <w:rPr>
          <w:bCs/>
          <w:color w:val="000000"/>
          <w:sz w:val="22"/>
          <w:szCs w:val="22"/>
          <w:lang w:eastAsia="en-US"/>
        </w:rPr>
        <w:t xml:space="preserve">Deputado </w:t>
      </w:r>
      <w:r>
        <w:rPr>
          <w:bCs/>
          <w:color w:val="000000"/>
          <w:sz w:val="22"/>
          <w:szCs w:val="22"/>
          <w:lang w:eastAsia="en-US"/>
        </w:rPr>
        <w:t>Florêncio Neto</w:t>
      </w:r>
    </w:p>
    <w:p w14:paraId="36F79430" w14:textId="77777777" w:rsidR="00824D67" w:rsidRDefault="00824D67" w:rsidP="00824D67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>Vota a favor:                                                    Vota contra:</w:t>
      </w:r>
    </w:p>
    <w:p w14:paraId="52FCC0F7" w14:textId="77777777" w:rsidR="00824D67" w:rsidRDefault="00824D67" w:rsidP="00824D6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Deputado Ariston                                         ______________________________ </w:t>
      </w:r>
    </w:p>
    <w:p w14:paraId="4583A12B" w14:textId="77777777" w:rsidR="00824D67" w:rsidRDefault="00824D67" w:rsidP="00824D6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Deputado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Glalbert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Cutrim                           ______________________________ </w:t>
      </w:r>
    </w:p>
    <w:p w14:paraId="65CAB580" w14:textId="4BBBE19C" w:rsidR="00824D67" w:rsidRDefault="00824D67" w:rsidP="00824D67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Deputado </w:t>
      </w:r>
      <w:r>
        <w:rPr>
          <w:rFonts w:eastAsia="Calibri"/>
          <w:color w:val="000000"/>
          <w:sz w:val="24"/>
          <w:szCs w:val="24"/>
          <w:lang w:eastAsia="en-US"/>
        </w:rPr>
        <w:t xml:space="preserve">Davi Brandão </w:t>
      </w:r>
      <w:r>
        <w:rPr>
          <w:rFonts w:eastAsia="Calibri"/>
          <w:color w:val="000000"/>
          <w:sz w:val="24"/>
          <w:szCs w:val="24"/>
          <w:lang w:eastAsia="en-US"/>
        </w:rPr>
        <w:t xml:space="preserve">                             ______________________________ </w:t>
      </w:r>
    </w:p>
    <w:p w14:paraId="2CA1E943" w14:textId="77777777" w:rsidR="00824D67" w:rsidRDefault="00824D67" w:rsidP="00824D6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______________________________         ______________________________ </w:t>
      </w:r>
    </w:p>
    <w:p w14:paraId="5A7E692F" w14:textId="77777777" w:rsidR="00824D67" w:rsidRDefault="00824D67" w:rsidP="00824D67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______________________________         ______________________________</w:t>
      </w:r>
    </w:p>
    <w:p w14:paraId="3E96129B" w14:textId="77777777" w:rsidR="00824D67" w:rsidRDefault="00824D67" w:rsidP="00824D67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</w:p>
    <w:p w14:paraId="0C26E21E" w14:textId="1E5498AE" w:rsidR="00DB5DF7" w:rsidRPr="00314ED0" w:rsidRDefault="00DB5DF7" w:rsidP="00824D67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088B433F" w14:textId="4ABD5F41" w:rsidR="00494F88" w:rsidRPr="00314ED0" w:rsidRDefault="00494F88" w:rsidP="00DB5DF7">
      <w:pPr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5CD678D9" w14:textId="77777777" w:rsidR="00D40BAD" w:rsidRPr="00314ED0" w:rsidRDefault="00D40BAD" w:rsidP="00494F88">
      <w:p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314ED0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p w14:paraId="6B8D6A1D" w14:textId="2AE71279" w:rsidR="00F5794F" w:rsidRPr="00314ED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314ED0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314ED0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314ED0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10815"/>
    <w:rsid w:val="000345CB"/>
    <w:rsid w:val="00050B98"/>
    <w:rsid w:val="00067152"/>
    <w:rsid w:val="00073488"/>
    <w:rsid w:val="0007756E"/>
    <w:rsid w:val="00085094"/>
    <w:rsid w:val="0008644B"/>
    <w:rsid w:val="000B6F8E"/>
    <w:rsid w:val="000D33B6"/>
    <w:rsid w:val="000D4657"/>
    <w:rsid w:val="000E1CC7"/>
    <w:rsid w:val="00122213"/>
    <w:rsid w:val="00174393"/>
    <w:rsid w:val="001748CC"/>
    <w:rsid w:val="001E0F37"/>
    <w:rsid w:val="001E2302"/>
    <w:rsid w:val="00221E41"/>
    <w:rsid w:val="002267AB"/>
    <w:rsid w:val="00262298"/>
    <w:rsid w:val="00280203"/>
    <w:rsid w:val="002A5F47"/>
    <w:rsid w:val="00314ED0"/>
    <w:rsid w:val="003216A3"/>
    <w:rsid w:val="00331827"/>
    <w:rsid w:val="00353B5E"/>
    <w:rsid w:val="00357BB1"/>
    <w:rsid w:val="0036129B"/>
    <w:rsid w:val="0036444D"/>
    <w:rsid w:val="003A4975"/>
    <w:rsid w:val="003E1B2C"/>
    <w:rsid w:val="00401A1C"/>
    <w:rsid w:val="00401A7F"/>
    <w:rsid w:val="00416485"/>
    <w:rsid w:val="004240D5"/>
    <w:rsid w:val="00450458"/>
    <w:rsid w:val="00494F88"/>
    <w:rsid w:val="004C3D1B"/>
    <w:rsid w:val="004E44FC"/>
    <w:rsid w:val="004F1596"/>
    <w:rsid w:val="004F26E1"/>
    <w:rsid w:val="00514B22"/>
    <w:rsid w:val="005249C4"/>
    <w:rsid w:val="0055054C"/>
    <w:rsid w:val="0055170A"/>
    <w:rsid w:val="00590AE1"/>
    <w:rsid w:val="005A3905"/>
    <w:rsid w:val="005C58F1"/>
    <w:rsid w:val="00605D5A"/>
    <w:rsid w:val="006359FA"/>
    <w:rsid w:val="0063751A"/>
    <w:rsid w:val="00640F3C"/>
    <w:rsid w:val="0066376F"/>
    <w:rsid w:val="00670AC9"/>
    <w:rsid w:val="00697C0D"/>
    <w:rsid w:val="006A66C1"/>
    <w:rsid w:val="006B0EFD"/>
    <w:rsid w:val="006C40F8"/>
    <w:rsid w:val="006C4C44"/>
    <w:rsid w:val="006D7C52"/>
    <w:rsid w:val="006F0899"/>
    <w:rsid w:val="00700843"/>
    <w:rsid w:val="00711354"/>
    <w:rsid w:val="00767393"/>
    <w:rsid w:val="007728CE"/>
    <w:rsid w:val="00787A24"/>
    <w:rsid w:val="007A5F1E"/>
    <w:rsid w:val="007B32A6"/>
    <w:rsid w:val="00824D67"/>
    <w:rsid w:val="00855C74"/>
    <w:rsid w:val="00864AF6"/>
    <w:rsid w:val="00885081"/>
    <w:rsid w:val="00896460"/>
    <w:rsid w:val="008B24BB"/>
    <w:rsid w:val="008C1481"/>
    <w:rsid w:val="008D340C"/>
    <w:rsid w:val="008F3791"/>
    <w:rsid w:val="008F559F"/>
    <w:rsid w:val="00907B3C"/>
    <w:rsid w:val="00925824"/>
    <w:rsid w:val="00925CAB"/>
    <w:rsid w:val="00926A40"/>
    <w:rsid w:val="00983EB8"/>
    <w:rsid w:val="00A11AEC"/>
    <w:rsid w:val="00A17795"/>
    <w:rsid w:val="00A3723B"/>
    <w:rsid w:val="00A46D0E"/>
    <w:rsid w:val="00A635A2"/>
    <w:rsid w:val="00A73537"/>
    <w:rsid w:val="00A7406A"/>
    <w:rsid w:val="00AB0BCE"/>
    <w:rsid w:val="00AC5E6E"/>
    <w:rsid w:val="00AE0A31"/>
    <w:rsid w:val="00AE2A1A"/>
    <w:rsid w:val="00AF6026"/>
    <w:rsid w:val="00B50B74"/>
    <w:rsid w:val="00B64406"/>
    <w:rsid w:val="00B71ECA"/>
    <w:rsid w:val="00B74ED6"/>
    <w:rsid w:val="00B75E56"/>
    <w:rsid w:val="00BB55FF"/>
    <w:rsid w:val="00BC3754"/>
    <w:rsid w:val="00BE6019"/>
    <w:rsid w:val="00BE7B76"/>
    <w:rsid w:val="00C01136"/>
    <w:rsid w:val="00C04D5A"/>
    <w:rsid w:val="00C50A8D"/>
    <w:rsid w:val="00C56FED"/>
    <w:rsid w:val="00C83141"/>
    <w:rsid w:val="00CA4033"/>
    <w:rsid w:val="00CC4488"/>
    <w:rsid w:val="00CD38A2"/>
    <w:rsid w:val="00D026B8"/>
    <w:rsid w:val="00D0302D"/>
    <w:rsid w:val="00D06F27"/>
    <w:rsid w:val="00D36AC7"/>
    <w:rsid w:val="00D40BAD"/>
    <w:rsid w:val="00D5389B"/>
    <w:rsid w:val="00D70C99"/>
    <w:rsid w:val="00D917C4"/>
    <w:rsid w:val="00D94ADD"/>
    <w:rsid w:val="00DA7C7A"/>
    <w:rsid w:val="00DB5DF7"/>
    <w:rsid w:val="00DB7C9D"/>
    <w:rsid w:val="00DC2E62"/>
    <w:rsid w:val="00DC5084"/>
    <w:rsid w:val="00DD5239"/>
    <w:rsid w:val="00DE0D89"/>
    <w:rsid w:val="00DE6A8C"/>
    <w:rsid w:val="00E0557A"/>
    <w:rsid w:val="00E057B3"/>
    <w:rsid w:val="00E163A9"/>
    <w:rsid w:val="00E21D6B"/>
    <w:rsid w:val="00E41541"/>
    <w:rsid w:val="00E44162"/>
    <w:rsid w:val="00E70230"/>
    <w:rsid w:val="00E767BE"/>
    <w:rsid w:val="00EA4EA0"/>
    <w:rsid w:val="00EB519B"/>
    <w:rsid w:val="00EC3059"/>
    <w:rsid w:val="00EC72CD"/>
    <w:rsid w:val="00F04A73"/>
    <w:rsid w:val="00F35408"/>
    <w:rsid w:val="00F5794F"/>
    <w:rsid w:val="00F75506"/>
    <w:rsid w:val="00F8535B"/>
    <w:rsid w:val="00FA5F9A"/>
    <w:rsid w:val="00FB07C5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Cha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2021-09-24T13:16:00Z</cp:lastPrinted>
  <dcterms:created xsi:type="dcterms:W3CDTF">2024-10-22T18:33:00Z</dcterms:created>
  <dcterms:modified xsi:type="dcterms:W3CDTF">2024-10-22T18:33:00Z</dcterms:modified>
</cp:coreProperties>
</file>