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F2C9" w14:textId="77777777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E669CB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06FA61F3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E669CB">
        <w:rPr>
          <w:rFonts w:eastAsia="Calibri"/>
          <w:b/>
          <w:sz w:val="22"/>
          <w:szCs w:val="22"/>
          <w:u w:val="single"/>
        </w:rPr>
        <w:t xml:space="preserve">PARECER </w:t>
      </w:r>
      <w:r w:rsidR="00477751" w:rsidRPr="00E669CB">
        <w:rPr>
          <w:rFonts w:eastAsia="Calibri"/>
          <w:b/>
          <w:sz w:val="22"/>
          <w:szCs w:val="22"/>
          <w:u w:val="single"/>
        </w:rPr>
        <w:t xml:space="preserve">Nº </w:t>
      </w:r>
      <w:r w:rsidR="00DD26CB">
        <w:rPr>
          <w:rFonts w:eastAsia="Calibri"/>
          <w:b/>
          <w:sz w:val="22"/>
          <w:szCs w:val="22"/>
          <w:u w:val="single"/>
        </w:rPr>
        <w:t>779</w:t>
      </w:r>
      <w:r w:rsidR="00515FA7">
        <w:rPr>
          <w:rFonts w:eastAsia="Calibri"/>
          <w:b/>
          <w:sz w:val="22"/>
          <w:szCs w:val="22"/>
          <w:u w:val="single"/>
        </w:rPr>
        <w:t xml:space="preserve"> </w:t>
      </w:r>
      <w:r w:rsidRPr="00E669CB">
        <w:rPr>
          <w:rFonts w:eastAsia="Calibri"/>
          <w:b/>
          <w:sz w:val="22"/>
          <w:szCs w:val="22"/>
          <w:u w:val="single"/>
        </w:rPr>
        <w:t>/20</w:t>
      </w:r>
      <w:r w:rsidR="00C7717E" w:rsidRPr="00E669CB">
        <w:rPr>
          <w:rFonts w:eastAsia="Calibri"/>
          <w:b/>
          <w:sz w:val="22"/>
          <w:szCs w:val="22"/>
          <w:u w:val="single"/>
        </w:rPr>
        <w:t>2</w:t>
      </w:r>
      <w:r w:rsidR="00515FA7">
        <w:rPr>
          <w:rFonts w:eastAsia="Calibri"/>
          <w:b/>
          <w:sz w:val="22"/>
          <w:szCs w:val="22"/>
          <w:u w:val="single"/>
        </w:rPr>
        <w:t>4</w:t>
      </w:r>
    </w:p>
    <w:p w14:paraId="562EDE88" w14:textId="7EA9A5A9" w:rsidR="00FF5E60" w:rsidRPr="00E669CB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669CB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E669CB">
        <w:rPr>
          <w:b/>
          <w:color w:val="000000" w:themeColor="text1"/>
          <w:sz w:val="22"/>
          <w:szCs w:val="22"/>
          <w:u w:val="single"/>
        </w:rPr>
        <w:t>:</w:t>
      </w:r>
    </w:p>
    <w:p w14:paraId="7BCCEEE6" w14:textId="0A20B015" w:rsidR="00717F3D" w:rsidRPr="00E40CA0" w:rsidRDefault="000D261B" w:rsidP="009D46CF">
      <w:pPr>
        <w:pStyle w:val="Ementa"/>
        <w:tabs>
          <w:tab w:val="left" w:pos="1418"/>
        </w:tabs>
        <w:spacing w:line="360" w:lineRule="auto"/>
        <w:ind w:left="0" w:firstLine="851"/>
        <w:rPr>
          <w:rFonts w:ascii="Times New Roman" w:hAnsi="Times New Roman" w:cs="Times New Roman"/>
          <w:i w:val="0"/>
          <w:iCs/>
        </w:rPr>
      </w:pPr>
      <w:r w:rsidRPr="004C4364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</w:t>
      </w:r>
      <w:bookmarkStart w:id="1" w:name="_Hlk73521583"/>
      <w:r w:rsidR="003D406A" w:rsidRPr="00E40CA0">
        <w:rPr>
          <w:rFonts w:ascii="Times New Roman" w:hAnsi="Times New Roman" w:cs="Times New Roman"/>
          <w:i w:val="0"/>
          <w:iCs/>
          <w:color w:val="000000" w:themeColor="text1"/>
        </w:rPr>
        <w:t xml:space="preserve">Cuida-se da </w:t>
      </w:r>
      <w:r w:rsidR="003D406A" w:rsidRPr="00E40CA0">
        <w:rPr>
          <w:rFonts w:ascii="Times New Roman" w:hAnsi="Times New Roman" w:cs="Times New Roman"/>
          <w:i w:val="0"/>
          <w:iCs/>
        </w:rPr>
        <w:t xml:space="preserve">análise de constitucionalidade, juridicidade, legalidade e técnica legislativa do </w:t>
      </w:r>
      <w:r w:rsidR="003D406A" w:rsidRPr="00E40CA0">
        <w:rPr>
          <w:rFonts w:ascii="Times New Roman" w:hAnsi="Times New Roman" w:cs="Times New Roman"/>
          <w:b/>
          <w:bCs/>
          <w:i w:val="0"/>
          <w:iCs/>
        </w:rPr>
        <w:t xml:space="preserve">Projeto de Lei </w:t>
      </w:r>
      <w:r w:rsidR="00E669CB" w:rsidRPr="00E40CA0">
        <w:rPr>
          <w:rFonts w:ascii="Times New Roman" w:hAnsi="Times New Roman" w:cs="Times New Roman"/>
          <w:b/>
          <w:bCs/>
          <w:i w:val="0"/>
          <w:iCs/>
        </w:rPr>
        <w:t xml:space="preserve">nº </w:t>
      </w:r>
      <w:r w:rsidR="00DD26CB">
        <w:rPr>
          <w:rFonts w:ascii="Times New Roman" w:hAnsi="Times New Roman" w:cs="Times New Roman"/>
          <w:b/>
          <w:bCs/>
          <w:i w:val="0"/>
          <w:iCs/>
        </w:rPr>
        <w:t>390</w:t>
      </w:r>
      <w:r w:rsidR="00D6651E" w:rsidRPr="00E40CA0">
        <w:rPr>
          <w:rFonts w:ascii="Times New Roman" w:hAnsi="Times New Roman" w:cs="Times New Roman"/>
          <w:b/>
          <w:bCs/>
          <w:i w:val="0"/>
          <w:iCs/>
        </w:rPr>
        <w:t>/2024,</w:t>
      </w:r>
      <w:r w:rsidR="003D406A" w:rsidRPr="00E40CA0">
        <w:rPr>
          <w:rFonts w:ascii="Times New Roman" w:hAnsi="Times New Roman" w:cs="Times New Roman"/>
          <w:i w:val="0"/>
          <w:iCs/>
        </w:rPr>
        <w:t xml:space="preserve"> de autoria </w:t>
      </w:r>
      <w:r w:rsidR="003D406A" w:rsidRPr="00E40CA0">
        <w:rPr>
          <w:rFonts w:ascii="Times New Roman" w:hAnsi="Times New Roman" w:cs="Times New Roman"/>
          <w:i w:val="0"/>
          <w:iCs/>
          <w:color w:val="000000" w:themeColor="text1"/>
        </w:rPr>
        <w:t>d</w:t>
      </w:r>
      <w:r w:rsidR="00FA490F">
        <w:rPr>
          <w:rFonts w:ascii="Times New Roman" w:hAnsi="Times New Roman" w:cs="Times New Roman"/>
          <w:i w:val="0"/>
          <w:iCs/>
          <w:color w:val="000000" w:themeColor="text1"/>
        </w:rPr>
        <w:t>o</w:t>
      </w:r>
      <w:r w:rsidR="00E669CB" w:rsidRPr="00E40CA0">
        <w:rPr>
          <w:rFonts w:ascii="Times New Roman" w:hAnsi="Times New Roman" w:cs="Times New Roman"/>
          <w:i w:val="0"/>
          <w:iCs/>
          <w:color w:val="000000" w:themeColor="text1"/>
        </w:rPr>
        <w:t xml:space="preserve"> Senhor Deputad</w:t>
      </w:r>
      <w:r w:rsidR="00FA490F">
        <w:rPr>
          <w:rFonts w:ascii="Times New Roman" w:hAnsi="Times New Roman" w:cs="Times New Roman"/>
          <w:i w:val="0"/>
          <w:iCs/>
          <w:color w:val="000000" w:themeColor="text1"/>
        </w:rPr>
        <w:t>o</w:t>
      </w:r>
      <w:r w:rsidR="00E669CB" w:rsidRPr="00E40CA0">
        <w:rPr>
          <w:rFonts w:ascii="Times New Roman" w:hAnsi="Times New Roman" w:cs="Times New Roman"/>
          <w:i w:val="0"/>
          <w:iCs/>
          <w:color w:val="000000" w:themeColor="text1"/>
        </w:rPr>
        <w:t xml:space="preserve"> </w:t>
      </w:r>
      <w:r w:rsidR="00993BB0">
        <w:rPr>
          <w:rFonts w:ascii="Times New Roman" w:hAnsi="Times New Roman" w:cs="Times New Roman"/>
          <w:i w:val="0"/>
          <w:iCs/>
          <w:color w:val="000000" w:themeColor="text1"/>
        </w:rPr>
        <w:t>Wellington do Curso</w:t>
      </w:r>
      <w:r w:rsidR="004C4364" w:rsidRPr="00E40CA0">
        <w:rPr>
          <w:rFonts w:ascii="Times New Roman" w:hAnsi="Times New Roman" w:cs="Times New Roman"/>
          <w:i w:val="0"/>
          <w:iCs/>
          <w:color w:val="000000" w:themeColor="text1"/>
        </w:rPr>
        <w:t>,</w:t>
      </w:r>
      <w:r w:rsidR="004C4364" w:rsidRPr="00E40CA0">
        <w:rPr>
          <w:rFonts w:ascii="Times New Roman" w:hAnsi="Times New Roman" w:cs="Times New Roman"/>
          <w:i w:val="0"/>
          <w:iCs/>
        </w:rPr>
        <w:t xml:space="preserve"> </w:t>
      </w:r>
      <w:bookmarkStart w:id="2" w:name="_Hlk152581507"/>
      <w:r w:rsidR="00D6651E" w:rsidRPr="00E40CA0">
        <w:rPr>
          <w:rFonts w:ascii="Times New Roman" w:hAnsi="Times New Roman" w:cs="Times New Roman"/>
          <w:i w:val="0"/>
          <w:iCs/>
        </w:rPr>
        <w:t xml:space="preserve">que </w:t>
      </w:r>
      <w:r w:rsidR="00DD26CB" w:rsidRPr="00DD26CB">
        <w:rPr>
          <w:rFonts w:ascii="Times New Roman" w:hAnsi="Times New Roman" w:cs="Times New Roman"/>
          <w:i w:val="0"/>
          <w:iCs/>
        </w:rPr>
        <w:t>Institui a Política Estadual de Proteção dos Direitos da Pessoa com Síndrome de Guillain-Barré, estabelecendo diretrizes para o diagnóstico precoce, tratamento adequado e apoio multidisciplinar no âmbito do Estado do Maranhão</w:t>
      </w:r>
      <w:r w:rsidR="00DD26CB">
        <w:rPr>
          <w:rFonts w:ascii="Times New Roman" w:hAnsi="Times New Roman" w:cs="Times New Roman"/>
          <w:i w:val="0"/>
          <w:iCs/>
        </w:rPr>
        <w:t>.</w:t>
      </w:r>
    </w:p>
    <w:bookmarkEnd w:id="2"/>
    <w:bookmarkEnd w:id="1"/>
    <w:p w14:paraId="43B48734" w14:textId="6705C11D" w:rsidR="00FA490F" w:rsidRDefault="00993BB0" w:rsidP="00DD26CB">
      <w:pPr>
        <w:spacing w:line="360" w:lineRule="auto"/>
        <w:ind w:firstLine="993"/>
        <w:jc w:val="both"/>
        <w:rPr>
          <w:sz w:val="22"/>
          <w:szCs w:val="22"/>
        </w:rPr>
      </w:pPr>
      <w:r w:rsidRPr="00993BB0">
        <w:rPr>
          <w:sz w:val="22"/>
          <w:szCs w:val="22"/>
        </w:rPr>
        <w:t xml:space="preserve">A Política Estadual </w:t>
      </w:r>
      <w:r>
        <w:rPr>
          <w:sz w:val="22"/>
          <w:szCs w:val="22"/>
        </w:rPr>
        <w:t xml:space="preserve">de que trata a propositura de Lei, </w:t>
      </w:r>
      <w:r w:rsidR="00DD26CB" w:rsidRPr="00DD26CB">
        <w:rPr>
          <w:sz w:val="22"/>
          <w:szCs w:val="22"/>
        </w:rPr>
        <w:t>observará as seguintes diretrizes:  garantir o diagnóstico precoce da Síndrome de Guillain-Barré por meio de campanhas de conscientização e treinamento de profissionais de saúde; assegurar o acesso a tratamentos médicos adequados e terapias de suporte, incluindo tratamentos neurológicos, fisioterapêuticos, respiratórios e de reabilitação, conforme necessidade do paciente; promover o acesso a exames diagnósticos avançados para a detecção e manejo adequado da Síndrome de Guillain-Barré;  fomentar o desenvolvimento de centros de referência especializados para tratamento e pesquisa sobre a Síndrome de Guillain-Barré; e</w:t>
      </w:r>
      <w:r w:rsidR="00DD26CB">
        <w:rPr>
          <w:sz w:val="22"/>
          <w:szCs w:val="22"/>
        </w:rPr>
        <w:t xml:space="preserve"> </w:t>
      </w:r>
      <w:r w:rsidR="00DD26CB" w:rsidRPr="00DD26CB">
        <w:rPr>
          <w:sz w:val="22"/>
          <w:szCs w:val="22"/>
        </w:rPr>
        <w:t>apoiar a inclusão social e a adaptação dos ambientes escolar e de trabalho para pessoas com Síndrome de Guillain-Barré.</w:t>
      </w:r>
    </w:p>
    <w:p w14:paraId="6A6E670F" w14:textId="01AC2282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Como mencionado acima, analisar-se-á neste parecer a constitucionalidade, a juridicidade e a legalidade projeto de lei apresentado, nos âmbitos formal e material. </w:t>
      </w:r>
    </w:p>
    <w:p w14:paraId="2874A9AE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b/>
          <w:sz w:val="22"/>
          <w:szCs w:val="22"/>
        </w:rPr>
        <w:t>O processo legislativo brasileiro</w:t>
      </w:r>
      <w:r w:rsidRPr="00E669CB">
        <w:rPr>
          <w:sz w:val="22"/>
          <w:szCs w:val="22"/>
        </w:rPr>
        <w:t xml:space="preserve">, nas três esferas da Federação, </w:t>
      </w:r>
      <w:r w:rsidRPr="00E669CB">
        <w:rPr>
          <w:b/>
          <w:sz w:val="22"/>
          <w:szCs w:val="22"/>
        </w:rPr>
        <w:t>deve obedecer a procedimentos pré-estabelecidos</w:t>
      </w:r>
      <w:r w:rsidRPr="00E669CB">
        <w:rPr>
          <w:sz w:val="22"/>
          <w:szCs w:val="22"/>
        </w:rPr>
        <w:t>. A Constituição Estadual Maranhense de 1989, nas mesmas linhas da Constituição Federal de 1988, estabeleceu (</w:t>
      </w:r>
      <w:proofErr w:type="spellStart"/>
      <w:r w:rsidRPr="00E669CB">
        <w:rPr>
          <w:sz w:val="22"/>
          <w:szCs w:val="22"/>
        </w:rPr>
        <w:t>arts</w:t>
      </w:r>
      <w:proofErr w:type="spellEnd"/>
      <w:r w:rsidRPr="00E669CB">
        <w:rPr>
          <w:sz w:val="22"/>
          <w:szCs w:val="22"/>
        </w:rPr>
        <w:t>. 40 a 49) os procedimentos do processo legislativo no âmbito estadual.</w:t>
      </w:r>
    </w:p>
    <w:p w14:paraId="1E9E3C06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O primeiro ponto de análise é a </w:t>
      </w:r>
      <w:r w:rsidRPr="00E669CB">
        <w:rPr>
          <w:b/>
          <w:sz w:val="22"/>
          <w:szCs w:val="22"/>
        </w:rPr>
        <w:t>iniciativa da proposição</w:t>
      </w:r>
      <w:r w:rsidRPr="00E669CB">
        <w:rPr>
          <w:sz w:val="22"/>
          <w:szCs w:val="22"/>
        </w:rPr>
        <w:t xml:space="preserve">. A Constituição Estadual, em simetria com a Federal, assegura a determinadas pessoas ou grupo de pessoas a iniciativa para a propositura de proposições legislativas. </w:t>
      </w:r>
    </w:p>
    <w:p w14:paraId="3771746B" w14:textId="17F287B6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No caso das Leis Ordinárias, o art. 42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do Estado do Maranhão determina da seguinte forma quanto à iniciativa: </w:t>
      </w:r>
      <w:r w:rsidRPr="00E669CB">
        <w:rPr>
          <w:i/>
          <w:sz w:val="22"/>
          <w:szCs w:val="22"/>
        </w:rPr>
        <w:t xml:space="preserve">“a </w:t>
      </w:r>
      <w:r w:rsidRPr="00E669CB">
        <w:rPr>
          <w:b/>
          <w:i/>
          <w:sz w:val="22"/>
          <w:szCs w:val="22"/>
        </w:rPr>
        <w:t xml:space="preserve">iniciativa das leis </w:t>
      </w:r>
      <w:r w:rsidRPr="00E669CB">
        <w:rPr>
          <w:bCs/>
          <w:i/>
          <w:sz w:val="22"/>
          <w:szCs w:val="22"/>
        </w:rPr>
        <w:t>complementares</w:t>
      </w:r>
      <w:r w:rsidRPr="00E669CB">
        <w:rPr>
          <w:b/>
          <w:i/>
          <w:sz w:val="22"/>
          <w:szCs w:val="22"/>
        </w:rPr>
        <w:t xml:space="preserve"> e ordinárias</w:t>
      </w:r>
      <w:r w:rsidRPr="00E669CB">
        <w:rPr>
          <w:i/>
          <w:sz w:val="22"/>
          <w:szCs w:val="22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E669CB">
        <w:rPr>
          <w:sz w:val="22"/>
          <w:szCs w:val="22"/>
        </w:rPr>
        <w:t xml:space="preserve">. Essa </w:t>
      </w:r>
      <w:r w:rsidRPr="00E669CB">
        <w:rPr>
          <w:b/>
          <w:sz w:val="22"/>
          <w:szCs w:val="22"/>
        </w:rPr>
        <w:t>iniciativa</w:t>
      </w:r>
      <w:r w:rsidRPr="00E669CB">
        <w:rPr>
          <w:sz w:val="22"/>
          <w:szCs w:val="22"/>
        </w:rPr>
        <w:t xml:space="preserve"> é chamada de </w:t>
      </w:r>
      <w:r w:rsidRPr="00E669CB">
        <w:rPr>
          <w:b/>
          <w:sz w:val="22"/>
          <w:szCs w:val="22"/>
        </w:rPr>
        <w:t>geral</w:t>
      </w:r>
      <w:r w:rsidRPr="00E669CB">
        <w:rPr>
          <w:sz w:val="22"/>
          <w:szCs w:val="22"/>
        </w:rPr>
        <w:t>, pois qualquer um dos citados acima poderá deflagrar o processo legislativo de leis complementares e ordinárias.</w:t>
      </w:r>
    </w:p>
    <w:p w14:paraId="2884CFAE" w14:textId="77777777" w:rsidR="00993BB0" w:rsidRDefault="00993BB0" w:rsidP="008024A6">
      <w:pPr>
        <w:spacing w:line="360" w:lineRule="auto"/>
        <w:ind w:firstLine="993"/>
        <w:jc w:val="both"/>
        <w:rPr>
          <w:sz w:val="22"/>
          <w:szCs w:val="22"/>
        </w:rPr>
      </w:pPr>
    </w:p>
    <w:p w14:paraId="6694A08B" w14:textId="7535B59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  <w:u w:val="single"/>
        </w:rPr>
      </w:pPr>
      <w:r w:rsidRPr="00E669CB">
        <w:rPr>
          <w:sz w:val="22"/>
          <w:szCs w:val="22"/>
        </w:rPr>
        <w:lastRenderedPageBreak/>
        <w:t xml:space="preserve">A apresentação de </w:t>
      </w:r>
      <w:r w:rsidR="00E40CA0">
        <w:rPr>
          <w:sz w:val="22"/>
          <w:szCs w:val="22"/>
        </w:rPr>
        <w:t>P</w:t>
      </w:r>
      <w:r w:rsidRPr="00E669CB">
        <w:rPr>
          <w:sz w:val="22"/>
          <w:szCs w:val="22"/>
        </w:rPr>
        <w:t xml:space="preserve">rojeto de </w:t>
      </w:r>
      <w:r w:rsidR="00E40CA0">
        <w:rPr>
          <w:sz w:val="22"/>
          <w:szCs w:val="22"/>
        </w:rPr>
        <w:t>L</w:t>
      </w:r>
      <w:r w:rsidRPr="00E669CB">
        <w:rPr>
          <w:sz w:val="22"/>
          <w:szCs w:val="22"/>
        </w:rPr>
        <w:t xml:space="preserve">ei de iniciativa parlamentar na </w:t>
      </w:r>
      <w:r w:rsidRPr="00E669CB">
        <w:rPr>
          <w:sz w:val="22"/>
          <w:szCs w:val="22"/>
          <w:u w:val="single"/>
        </w:rPr>
        <w:t>criação de políticas públicas</w:t>
      </w:r>
      <w:r w:rsidRPr="00E669CB">
        <w:rPr>
          <w:sz w:val="22"/>
          <w:szCs w:val="22"/>
        </w:rPr>
        <w:t xml:space="preserve"> </w:t>
      </w:r>
      <w:r w:rsidRPr="00E669CB">
        <w:rPr>
          <w:sz w:val="22"/>
          <w:szCs w:val="22"/>
          <w:u w:val="single"/>
        </w:rPr>
        <w:t>é viabilizada desde que, em respeito ao Princípio da Separação entre os Poderes, não haja interferência na estrutura organizacional da administração pública do Poder Executivo e nem se atribuam competências a órgãos e entidades estatais.</w:t>
      </w:r>
    </w:p>
    <w:p w14:paraId="6EDFEE1A" w14:textId="351C1C6B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A instituição de política pública estadual, mediante projeto de lei de iniciativa parlamentar, torna-se juridicamente viável contanto que a política se restrinja à definição de </w:t>
      </w:r>
      <w:r w:rsidRPr="00E669CB">
        <w:rPr>
          <w:b/>
          <w:sz w:val="22"/>
          <w:szCs w:val="22"/>
          <w:u w:val="single"/>
        </w:rPr>
        <w:t>diretrizes, parâmetros e objetivos</w:t>
      </w:r>
      <w:r w:rsidR="004708AE" w:rsidRPr="00E669CB">
        <w:rPr>
          <w:b/>
          <w:sz w:val="22"/>
          <w:szCs w:val="22"/>
          <w:u w:val="single"/>
        </w:rPr>
        <w:t xml:space="preserve">, </w:t>
      </w:r>
      <w:r w:rsidR="004708AE" w:rsidRPr="00E669CB">
        <w:rPr>
          <w:sz w:val="22"/>
          <w:szCs w:val="22"/>
        </w:rPr>
        <w:t>caso em espécie</w:t>
      </w:r>
      <w:r w:rsidRPr="00E669CB">
        <w:rPr>
          <w:sz w:val="22"/>
          <w:szCs w:val="22"/>
        </w:rPr>
        <w:t>.</w:t>
      </w:r>
    </w:p>
    <w:p w14:paraId="1FBE5415" w14:textId="5F0132D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Vale ressaltar, que a atividade legislativa opera tipicamente no plano da abstração e da generalidade e não pode avançar até o detalhamento da ação executiva ou questões técnicas, prescrevendo a implantação de política governamental, fato que iria esvaziar a atuação institucional do Poder Executivo e, principalmente, contrariar o Princípio da Separação dos Poderes, fundamento do Estado Democrático de Direito previsto no art. 2º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da República. </w:t>
      </w:r>
    </w:p>
    <w:p w14:paraId="63AC6E30" w14:textId="56ACEAE7" w:rsidR="00FF5E60" w:rsidRDefault="00FF5E60" w:rsidP="008024A6">
      <w:pPr>
        <w:spacing w:line="360" w:lineRule="auto"/>
        <w:ind w:firstLine="993"/>
        <w:jc w:val="both"/>
        <w:rPr>
          <w:b/>
          <w:bCs/>
          <w:sz w:val="22"/>
          <w:szCs w:val="22"/>
        </w:rPr>
      </w:pPr>
      <w:r w:rsidRPr="00E669CB">
        <w:rPr>
          <w:sz w:val="22"/>
          <w:szCs w:val="22"/>
        </w:rPr>
        <w:t xml:space="preserve">O </w:t>
      </w:r>
      <w:r w:rsidR="00C30FF7" w:rsidRPr="00E669CB">
        <w:rPr>
          <w:sz w:val="22"/>
          <w:szCs w:val="22"/>
        </w:rPr>
        <w:t>P</w:t>
      </w:r>
      <w:r w:rsidRPr="00E669CB">
        <w:rPr>
          <w:sz w:val="22"/>
          <w:szCs w:val="22"/>
        </w:rPr>
        <w:t>rojeto</w:t>
      </w:r>
      <w:r w:rsidR="00C30FF7" w:rsidRPr="00E669CB">
        <w:rPr>
          <w:sz w:val="22"/>
          <w:szCs w:val="22"/>
        </w:rPr>
        <w:t xml:space="preserve"> de Lei</w:t>
      </w:r>
      <w:r w:rsidRPr="00E669CB">
        <w:rPr>
          <w:sz w:val="22"/>
          <w:szCs w:val="22"/>
        </w:rPr>
        <w:t xml:space="preserve"> em tela segue os parâmetros apresentados, logo, </w:t>
      </w:r>
      <w:r w:rsidRPr="00E669CB">
        <w:rPr>
          <w:b/>
          <w:bCs/>
          <w:sz w:val="22"/>
          <w:szCs w:val="22"/>
        </w:rPr>
        <w:t>não há objeções nessa fase do processo legislativo.</w:t>
      </w:r>
    </w:p>
    <w:p w14:paraId="10AF50ED" w14:textId="77777777" w:rsidR="00DD26CB" w:rsidRPr="00DD26CB" w:rsidRDefault="00DD26CB" w:rsidP="00DD26CB">
      <w:pPr>
        <w:spacing w:line="360" w:lineRule="auto"/>
        <w:ind w:right="18" w:firstLine="993"/>
        <w:jc w:val="both"/>
        <w:rPr>
          <w:sz w:val="22"/>
          <w:szCs w:val="22"/>
        </w:rPr>
      </w:pPr>
      <w:r w:rsidRPr="00DD26CB">
        <w:rPr>
          <w:sz w:val="22"/>
          <w:szCs w:val="22"/>
        </w:rPr>
        <w:t>Entretanto, objetivando aprimorar o texto original do presente Projeto de Lei, sugerimos a sua aprovação na forma de substitutivo, para melhor sua aplicabilidade.</w:t>
      </w:r>
    </w:p>
    <w:p w14:paraId="30C04372" w14:textId="77777777" w:rsidR="00DD26CB" w:rsidRPr="00DD26CB" w:rsidRDefault="00DD26CB" w:rsidP="00DD26CB">
      <w:pPr>
        <w:spacing w:line="360" w:lineRule="auto"/>
        <w:ind w:right="18" w:firstLine="1276"/>
        <w:jc w:val="both"/>
        <w:rPr>
          <w:sz w:val="22"/>
          <w:szCs w:val="22"/>
        </w:rPr>
      </w:pPr>
    </w:p>
    <w:p w14:paraId="5AE82F36" w14:textId="77777777" w:rsidR="00DD26CB" w:rsidRP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D26CB">
        <w:rPr>
          <w:rFonts w:eastAsia="Calibri"/>
          <w:b/>
          <w:sz w:val="22"/>
          <w:szCs w:val="22"/>
          <w:u w:val="single"/>
          <w:lang w:eastAsia="en-US"/>
        </w:rPr>
        <w:t>VOTO DO RELATOR</w:t>
      </w:r>
      <w:r w:rsidRPr="00DD26CB">
        <w:rPr>
          <w:rFonts w:eastAsia="Calibri"/>
          <w:b/>
          <w:sz w:val="22"/>
          <w:szCs w:val="22"/>
          <w:lang w:eastAsia="en-US"/>
        </w:rPr>
        <w:t>:</w:t>
      </w:r>
    </w:p>
    <w:p w14:paraId="1868150E" w14:textId="311B874E" w:rsidR="00DD26CB" w:rsidRPr="00DD26CB" w:rsidRDefault="00DD26CB" w:rsidP="00DD26CB">
      <w:pPr>
        <w:spacing w:line="360" w:lineRule="auto"/>
        <w:ind w:firstLine="1134"/>
        <w:jc w:val="both"/>
        <w:rPr>
          <w:sz w:val="22"/>
          <w:szCs w:val="22"/>
        </w:rPr>
      </w:pPr>
      <w:r w:rsidRPr="00DD26CB">
        <w:rPr>
          <w:sz w:val="22"/>
          <w:szCs w:val="22"/>
        </w:rPr>
        <w:t xml:space="preserve">Isto posto, opinamos pela </w:t>
      </w:r>
      <w:r w:rsidRPr="00DD26CB">
        <w:rPr>
          <w:b/>
          <w:sz w:val="22"/>
          <w:szCs w:val="22"/>
        </w:rPr>
        <w:t xml:space="preserve">aprovação do Projeto de Lei Ordinária nº </w:t>
      </w:r>
      <w:r>
        <w:rPr>
          <w:b/>
          <w:sz w:val="22"/>
          <w:szCs w:val="22"/>
        </w:rPr>
        <w:t>390</w:t>
      </w:r>
      <w:r w:rsidRPr="00DD26CB">
        <w:rPr>
          <w:b/>
          <w:sz w:val="22"/>
          <w:szCs w:val="22"/>
        </w:rPr>
        <w:t>/2024</w:t>
      </w:r>
      <w:r w:rsidRPr="00DD26CB">
        <w:rPr>
          <w:sz w:val="22"/>
          <w:szCs w:val="22"/>
        </w:rPr>
        <w:t>, na forma de substitutivo anexo a este Parecer.</w:t>
      </w:r>
    </w:p>
    <w:p w14:paraId="6BFC8191" w14:textId="77777777" w:rsidR="00DD26CB" w:rsidRPr="00DD26CB" w:rsidRDefault="00DD26CB" w:rsidP="00DD26CB">
      <w:pPr>
        <w:spacing w:line="360" w:lineRule="auto"/>
        <w:ind w:firstLine="1134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D26CB">
        <w:rPr>
          <w:sz w:val="22"/>
          <w:szCs w:val="22"/>
        </w:rPr>
        <w:t>É o voto.</w:t>
      </w:r>
    </w:p>
    <w:p w14:paraId="51037C74" w14:textId="77777777" w:rsidR="00DD26CB" w:rsidRPr="00DD26CB" w:rsidRDefault="00DD26CB" w:rsidP="00DD26CB">
      <w:pPr>
        <w:spacing w:after="200" w:line="360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5544B3ED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641500EC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3DD16016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11AD1AFD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115B6C7D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525DA48D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2D039650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0621264A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1E654C5F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506A5FF1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42F6C766" w14:textId="5305B143" w:rsidR="003D406A" w:rsidRPr="00E669CB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E669CB">
        <w:rPr>
          <w:b/>
          <w:sz w:val="22"/>
          <w:szCs w:val="22"/>
          <w:u w:val="single"/>
        </w:rPr>
        <w:lastRenderedPageBreak/>
        <w:t>PARECER DA COMISSÃO</w:t>
      </w:r>
      <w:r w:rsidRPr="00E669CB">
        <w:rPr>
          <w:b/>
          <w:sz w:val="22"/>
          <w:szCs w:val="22"/>
        </w:rPr>
        <w:t>:</w:t>
      </w:r>
    </w:p>
    <w:p w14:paraId="104C7863" w14:textId="6A861DFE" w:rsidR="003D406A" w:rsidRPr="00E669CB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E669CB">
        <w:rPr>
          <w:rFonts w:eastAsia="Calibri"/>
          <w:sz w:val="22"/>
          <w:szCs w:val="22"/>
        </w:rPr>
        <w:t>Os membros da Comissão de Constituição, Justiça e Cidadania</w:t>
      </w:r>
      <w:r w:rsidRPr="00E669CB">
        <w:rPr>
          <w:rFonts w:eastAsia="Batang"/>
          <w:bCs/>
          <w:kern w:val="32"/>
          <w:sz w:val="22"/>
          <w:szCs w:val="22"/>
        </w:rPr>
        <w:t xml:space="preserve"> votam pela </w:t>
      </w:r>
      <w:r w:rsidRPr="00E669CB">
        <w:rPr>
          <w:rFonts w:eastAsia="Calibri"/>
          <w:b/>
          <w:sz w:val="22"/>
          <w:szCs w:val="22"/>
        </w:rPr>
        <w:t>APROVAÇÃO</w:t>
      </w:r>
      <w:r w:rsidRPr="00E669CB">
        <w:rPr>
          <w:rFonts w:eastAsia="Calibri"/>
          <w:sz w:val="22"/>
          <w:szCs w:val="22"/>
        </w:rPr>
        <w:t xml:space="preserve"> do </w:t>
      </w:r>
      <w:r w:rsidRPr="00E669CB">
        <w:rPr>
          <w:rFonts w:eastAsia="Calibri"/>
          <w:b/>
          <w:sz w:val="22"/>
          <w:szCs w:val="22"/>
        </w:rPr>
        <w:t xml:space="preserve">Projeto de Lei Ordinária </w:t>
      </w:r>
      <w:r w:rsidR="009D46CF" w:rsidRPr="009D46CF">
        <w:rPr>
          <w:rFonts w:eastAsia="Calibri"/>
          <w:b/>
          <w:sz w:val="22"/>
          <w:szCs w:val="22"/>
        </w:rPr>
        <w:t xml:space="preserve">nº </w:t>
      </w:r>
      <w:r w:rsidR="00DD26CB">
        <w:rPr>
          <w:rFonts w:eastAsia="Calibri"/>
          <w:b/>
          <w:sz w:val="22"/>
          <w:szCs w:val="22"/>
        </w:rPr>
        <w:t>390</w:t>
      </w:r>
      <w:r w:rsidR="00E40CA0">
        <w:rPr>
          <w:rFonts w:eastAsia="Calibri"/>
          <w:b/>
          <w:sz w:val="22"/>
          <w:szCs w:val="22"/>
        </w:rPr>
        <w:t>/2024</w:t>
      </w:r>
      <w:r w:rsidRPr="009D46CF">
        <w:rPr>
          <w:rFonts w:eastAsia="Calibri"/>
          <w:sz w:val="22"/>
          <w:szCs w:val="22"/>
        </w:rPr>
        <w:t xml:space="preserve">, </w:t>
      </w:r>
      <w:r w:rsidRPr="00F862A9">
        <w:rPr>
          <w:rFonts w:eastAsia="Calibri"/>
          <w:sz w:val="22"/>
          <w:szCs w:val="22"/>
        </w:rPr>
        <w:t xml:space="preserve">nos termos </w:t>
      </w:r>
      <w:r w:rsidRPr="00E669CB">
        <w:rPr>
          <w:rFonts w:eastAsia="Calibri"/>
          <w:sz w:val="22"/>
          <w:szCs w:val="22"/>
        </w:rPr>
        <w:t>do voto do Relator.</w:t>
      </w:r>
    </w:p>
    <w:p w14:paraId="60B33538" w14:textId="77777777" w:rsidR="003D406A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É o parecer.</w:t>
      </w:r>
    </w:p>
    <w:p w14:paraId="7DB34E64" w14:textId="14B3E905" w:rsidR="00543F18" w:rsidRPr="00543F18" w:rsidRDefault="00543F18" w:rsidP="00543F18">
      <w:pPr>
        <w:spacing w:after="200"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543F18">
        <w:rPr>
          <w:rFonts w:eastAsia="Calibri"/>
          <w:sz w:val="22"/>
          <w:szCs w:val="22"/>
          <w:lang w:eastAsia="en-US"/>
        </w:rPr>
        <w:t xml:space="preserve">SALA DAS COMISSÕES “DEPUTADO LÉO FRANKLIM”, em </w:t>
      </w:r>
      <w:r w:rsidR="00DD26CB">
        <w:rPr>
          <w:rFonts w:eastAsia="Calibri"/>
          <w:sz w:val="22"/>
          <w:szCs w:val="22"/>
          <w:lang w:eastAsia="en-US"/>
        </w:rPr>
        <w:t>22</w:t>
      </w:r>
      <w:r w:rsidRPr="00543F18">
        <w:rPr>
          <w:rFonts w:eastAsia="Calibri"/>
          <w:sz w:val="22"/>
          <w:szCs w:val="22"/>
          <w:lang w:eastAsia="en-US"/>
        </w:rPr>
        <w:t xml:space="preserve"> de outubro de 2024.  </w:t>
      </w:r>
    </w:p>
    <w:p w14:paraId="67B8CC39" w14:textId="6B4BD822" w:rsidR="007573C8" w:rsidRDefault="00543F18" w:rsidP="007573C8">
      <w:pPr>
        <w:autoSpaceDE w:val="0"/>
        <w:autoSpaceDN w:val="0"/>
        <w:adjustRightInd w:val="0"/>
        <w:spacing w:after="200" w:line="360" w:lineRule="auto"/>
        <w:ind w:left="3544" w:hanging="3544"/>
        <w:jc w:val="both"/>
        <w:rPr>
          <w:color w:val="000000"/>
          <w:sz w:val="22"/>
          <w:szCs w:val="22"/>
          <w:lang w:eastAsia="en-US"/>
        </w:rPr>
      </w:pPr>
      <w:r w:rsidRPr="00543F18">
        <w:rPr>
          <w:rFonts w:eastAsia="Calibri"/>
          <w:sz w:val="22"/>
          <w:szCs w:val="22"/>
          <w:lang w:eastAsia="en-US"/>
        </w:rPr>
        <w:t xml:space="preserve"> </w:t>
      </w:r>
      <w:r w:rsidRPr="00543F18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</w:t>
      </w:r>
      <w:r w:rsidR="007573C8">
        <w:rPr>
          <w:b/>
          <w:bCs/>
          <w:color w:val="000000"/>
          <w:sz w:val="24"/>
          <w:szCs w:val="24"/>
        </w:rPr>
        <w:t xml:space="preserve">                          </w:t>
      </w:r>
      <w:r w:rsidR="007573C8">
        <w:rPr>
          <w:b/>
          <w:color w:val="000000"/>
          <w:sz w:val="22"/>
          <w:szCs w:val="22"/>
          <w:lang w:eastAsia="en-US"/>
        </w:rPr>
        <w:t>Presidente</w:t>
      </w:r>
      <w:r w:rsidR="007573C8">
        <w:rPr>
          <w:color w:val="000000"/>
          <w:sz w:val="22"/>
          <w:szCs w:val="22"/>
          <w:lang w:eastAsia="en-US"/>
        </w:rPr>
        <w:t>: Deputado Neto Evangelista</w:t>
      </w:r>
    </w:p>
    <w:p w14:paraId="377F8425" w14:textId="77777777" w:rsidR="007573C8" w:rsidRDefault="007573C8" w:rsidP="007573C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Relator: </w:t>
      </w:r>
      <w:r>
        <w:rPr>
          <w:bCs/>
          <w:color w:val="000000"/>
          <w:sz w:val="22"/>
          <w:szCs w:val="22"/>
          <w:lang w:eastAsia="en-US"/>
        </w:rPr>
        <w:t>Deputado Florêncio Neto</w:t>
      </w:r>
    </w:p>
    <w:p w14:paraId="31FD4653" w14:textId="77777777" w:rsidR="007573C8" w:rsidRDefault="007573C8" w:rsidP="007573C8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5C7FB18C" w14:textId="77777777" w:rsidR="007573C8" w:rsidRDefault="007573C8" w:rsidP="007573C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Ariston                                         ______________________________ </w:t>
      </w:r>
    </w:p>
    <w:p w14:paraId="29CB2812" w14:textId="77777777" w:rsidR="007573C8" w:rsidRDefault="007573C8" w:rsidP="007573C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Glalbert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Cutrim                           ______________________________ </w:t>
      </w:r>
    </w:p>
    <w:p w14:paraId="71CCF6B4" w14:textId="77777777" w:rsidR="007573C8" w:rsidRDefault="007573C8" w:rsidP="007573C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Davi Brandão                              ______________________________ </w:t>
      </w:r>
    </w:p>
    <w:p w14:paraId="5F21521F" w14:textId="6538E613" w:rsidR="007573C8" w:rsidRDefault="007573C8" w:rsidP="007573C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Doutor Yglésio             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         ______________________________ </w:t>
      </w:r>
    </w:p>
    <w:p w14:paraId="1C585D7C" w14:textId="77777777" w:rsidR="007573C8" w:rsidRDefault="007573C8" w:rsidP="007573C8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______________________________         ______________________________</w:t>
      </w:r>
    </w:p>
    <w:p w14:paraId="050718F2" w14:textId="77777777" w:rsidR="007573C8" w:rsidRDefault="007573C8" w:rsidP="007573C8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21358A89" w14:textId="7C54A68B" w:rsidR="00DD26CB" w:rsidRDefault="00DD26CB" w:rsidP="007573C8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30744006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14E7F5F6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4E2CCA84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7934F204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3FAA3C93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15675AD1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44DD02AD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75483E98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754A2CC9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0F4E5D3B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68B72BE8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17839BDB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2DF0F3CE" w14:textId="487EE1C9" w:rsidR="00DD26CB" w:rsidRPr="00DD26CB" w:rsidRDefault="00DD26CB" w:rsidP="00DD26CB">
      <w:pPr>
        <w:keepNext/>
        <w:keepLines/>
        <w:tabs>
          <w:tab w:val="left" w:pos="1418"/>
        </w:tabs>
        <w:jc w:val="center"/>
        <w:outlineLvl w:val="0"/>
        <w:rPr>
          <w:b/>
          <w:bCs/>
          <w:caps/>
          <w:sz w:val="24"/>
          <w:szCs w:val="24"/>
          <w:lang w:eastAsia="en-US"/>
        </w:rPr>
      </w:pPr>
      <w:r>
        <w:rPr>
          <w:b/>
          <w:bCs/>
          <w:caps/>
          <w:sz w:val="24"/>
          <w:szCs w:val="24"/>
          <w:lang w:eastAsia="en-US"/>
        </w:rPr>
        <w:t xml:space="preserve">substitutivo ao </w:t>
      </w:r>
      <w:r w:rsidRPr="00DD26CB">
        <w:rPr>
          <w:b/>
          <w:bCs/>
          <w:caps/>
          <w:sz w:val="24"/>
          <w:szCs w:val="24"/>
          <w:lang w:eastAsia="en-US"/>
        </w:rPr>
        <w:t xml:space="preserve">PROJETO DE LEI Nº </w:t>
      </w:r>
      <w:r>
        <w:rPr>
          <w:b/>
          <w:bCs/>
          <w:caps/>
          <w:sz w:val="24"/>
          <w:szCs w:val="24"/>
          <w:lang w:eastAsia="en-US"/>
        </w:rPr>
        <w:t>390/2024</w:t>
      </w:r>
    </w:p>
    <w:p w14:paraId="0FC5F51D" w14:textId="77777777" w:rsidR="00DD26CB" w:rsidRPr="00DD26CB" w:rsidRDefault="00DD26CB" w:rsidP="00DD26CB">
      <w:pPr>
        <w:tabs>
          <w:tab w:val="left" w:pos="1440"/>
        </w:tabs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38591F42" w14:textId="77777777" w:rsidR="00DD26CB" w:rsidRPr="00DD26CB" w:rsidRDefault="00DD26CB" w:rsidP="00DD26CB">
      <w:pPr>
        <w:tabs>
          <w:tab w:val="left" w:pos="1440"/>
        </w:tabs>
        <w:ind w:left="368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DD26CB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</w:p>
    <w:p w14:paraId="4E10EE45" w14:textId="54289290" w:rsidR="00DD26CB" w:rsidRPr="00DD26CB" w:rsidRDefault="00DD26CB" w:rsidP="00DD26CB">
      <w:pPr>
        <w:tabs>
          <w:tab w:val="left" w:pos="1440"/>
        </w:tabs>
        <w:ind w:left="368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DD26CB">
        <w:rPr>
          <w:rFonts w:eastAsiaTheme="minorHAnsi"/>
          <w:i/>
          <w:iCs/>
          <w:sz w:val="24"/>
          <w:szCs w:val="24"/>
          <w:lang w:eastAsia="en-US"/>
        </w:rPr>
        <w:t>Estabelece as diretrizes para a instituição</w:t>
      </w:r>
      <w:r>
        <w:rPr>
          <w:rFonts w:eastAsiaTheme="minorHAnsi"/>
          <w:i/>
          <w:iCs/>
          <w:sz w:val="24"/>
          <w:szCs w:val="24"/>
          <w:lang w:eastAsia="en-US"/>
        </w:rPr>
        <w:t xml:space="preserve"> d</w:t>
      </w:r>
      <w:r w:rsidRPr="00DD26CB">
        <w:rPr>
          <w:rFonts w:eastAsiaTheme="minorHAnsi"/>
          <w:i/>
          <w:iCs/>
          <w:sz w:val="24"/>
          <w:szCs w:val="24"/>
          <w:lang w:eastAsia="en-US"/>
        </w:rPr>
        <w:t>a Política Estadual de Proteção dos Direitos da Pessoa com Síndrome de Guillain-Barré, estabelecendo diretrizes para o diagnóstico precoce, tratamento adequado e apoio multidisciplinar no âmbito do Estado do Maranhão.</w:t>
      </w:r>
    </w:p>
    <w:p w14:paraId="7A91B391" w14:textId="77777777" w:rsidR="00DD26CB" w:rsidRPr="00DD26CB" w:rsidRDefault="00DD26CB" w:rsidP="00DD26CB">
      <w:pPr>
        <w:tabs>
          <w:tab w:val="left" w:pos="1440"/>
        </w:tabs>
        <w:ind w:left="3686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79FF71B4" w14:textId="77777777" w:rsidR="00DD26CB" w:rsidRPr="00DD26CB" w:rsidRDefault="00DD26CB" w:rsidP="00DD26CB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Art. 1º </w:t>
      </w:r>
      <w:r w:rsidRPr="00DD26CB">
        <w:rPr>
          <w:rFonts w:eastAsiaTheme="minorHAnsi"/>
          <w:sz w:val="24"/>
          <w:szCs w:val="24"/>
          <w:lang w:eastAsia="en-US"/>
        </w:rPr>
        <w:t>Esta Lei estabelece as diretrizes para a instituição</w:t>
      </w:r>
      <w:r>
        <w:rPr>
          <w:rFonts w:eastAsiaTheme="minorHAnsi"/>
          <w:sz w:val="24"/>
          <w:szCs w:val="24"/>
          <w:lang w:eastAsia="en-US"/>
        </w:rPr>
        <w:t xml:space="preserve"> da</w:t>
      </w:r>
      <w:r w:rsidRPr="00DD26CB">
        <w:rPr>
          <w:rFonts w:eastAsiaTheme="minorHAnsi"/>
          <w:sz w:val="24"/>
          <w:szCs w:val="24"/>
          <w:lang w:eastAsia="en-US"/>
        </w:rPr>
        <w:t xml:space="preserve"> política Estadual de Proteção dos Direitos da Pessoa com Síndrome de Guillain-Barré, estabelecendo diretrizes para o diagnóstico precoce, tratamento adequado e apoio multidisciplinar no âmbito do Estado do Maranhão.</w:t>
      </w:r>
    </w:p>
    <w:p w14:paraId="2AD98182" w14:textId="5E816F65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b/>
          <w:bCs/>
          <w:sz w:val="24"/>
          <w:szCs w:val="24"/>
          <w:lang w:eastAsia="en-US"/>
        </w:rPr>
        <w:t>Art. 2</w:t>
      </w:r>
      <w:r w:rsidR="00032889">
        <w:rPr>
          <w:rFonts w:eastAsiaTheme="minorHAnsi"/>
          <w:b/>
          <w:bCs/>
          <w:sz w:val="24"/>
          <w:szCs w:val="24"/>
          <w:lang w:eastAsia="en-US"/>
        </w:rPr>
        <w:t>º</w:t>
      </w: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D26CB">
        <w:rPr>
          <w:rFonts w:eastAsiaTheme="minorHAnsi"/>
          <w:sz w:val="24"/>
          <w:szCs w:val="24"/>
          <w:lang w:eastAsia="en-US"/>
        </w:rPr>
        <w:t xml:space="preserve">A Política Estadual de Proteção dos Direitos da Pessoa com Síndrome de Guillain-Barré observará as seguintes diretrizes: </w:t>
      </w:r>
    </w:p>
    <w:p w14:paraId="754A14EA" w14:textId="77777777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sz w:val="24"/>
          <w:szCs w:val="24"/>
          <w:lang w:eastAsia="en-US"/>
        </w:rPr>
        <w:t xml:space="preserve">I - </w:t>
      </w:r>
      <w:proofErr w:type="gramStart"/>
      <w:r w:rsidRPr="00DD26CB">
        <w:rPr>
          <w:rFonts w:eastAsiaTheme="minorHAnsi"/>
          <w:sz w:val="24"/>
          <w:szCs w:val="24"/>
          <w:lang w:eastAsia="en-US"/>
        </w:rPr>
        <w:t>garantir</w:t>
      </w:r>
      <w:proofErr w:type="gramEnd"/>
      <w:r w:rsidRPr="00DD26CB">
        <w:rPr>
          <w:rFonts w:eastAsiaTheme="minorHAnsi"/>
          <w:sz w:val="24"/>
          <w:szCs w:val="24"/>
          <w:lang w:eastAsia="en-US"/>
        </w:rPr>
        <w:t xml:space="preserve"> o diagnóstico precoce da Síndrome de Guillain-Barré por meio de campanhas de conscientização e treinamento de profissionais de saúde; </w:t>
      </w:r>
    </w:p>
    <w:p w14:paraId="36115A28" w14:textId="77777777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sz w:val="24"/>
          <w:szCs w:val="24"/>
          <w:lang w:eastAsia="en-US"/>
        </w:rPr>
        <w:t xml:space="preserve">II - </w:t>
      </w:r>
      <w:proofErr w:type="gramStart"/>
      <w:r w:rsidRPr="00DD26CB">
        <w:rPr>
          <w:rFonts w:eastAsiaTheme="minorHAnsi"/>
          <w:sz w:val="24"/>
          <w:szCs w:val="24"/>
          <w:lang w:eastAsia="en-US"/>
        </w:rPr>
        <w:t>assegurar</w:t>
      </w:r>
      <w:proofErr w:type="gramEnd"/>
      <w:r w:rsidRPr="00DD26CB">
        <w:rPr>
          <w:rFonts w:eastAsiaTheme="minorHAnsi"/>
          <w:sz w:val="24"/>
          <w:szCs w:val="24"/>
          <w:lang w:eastAsia="en-US"/>
        </w:rPr>
        <w:t xml:space="preserve"> o acesso a tratamentos médicos adequados e terapias de suporte, incluindo tratamentos neurológicos, fisioterapêuticos, respiratórios e de reabilitação, conforme necessidade do paciente; </w:t>
      </w:r>
    </w:p>
    <w:p w14:paraId="52BC81D4" w14:textId="77777777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sz w:val="24"/>
          <w:szCs w:val="24"/>
          <w:lang w:eastAsia="en-US"/>
        </w:rPr>
        <w:t xml:space="preserve">III - promover o acesso a exames diagnósticos avançados para a detecção e manejo adequado da Síndrome de Guillain-Barré; </w:t>
      </w:r>
    </w:p>
    <w:p w14:paraId="24CD7EEE" w14:textId="77777777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sz w:val="24"/>
          <w:szCs w:val="24"/>
          <w:lang w:eastAsia="en-US"/>
        </w:rPr>
        <w:t xml:space="preserve">IV - </w:t>
      </w:r>
      <w:proofErr w:type="gramStart"/>
      <w:r w:rsidRPr="00DD26CB">
        <w:rPr>
          <w:rFonts w:eastAsiaTheme="minorHAnsi"/>
          <w:sz w:val="24"/>
          <w:szCs w:val="24"/>
          <w:lang w:eastAsia="en-US"/>
        </w:rPr>
        <w:t>fomentar</w:t>
      </w:r>
      <w:proofErr w:type="gramEnd"/>
      <w:r w:rsidRPr="00DD26CB">
        <w:rPr>
          <w:rFonts w:eastAsiaTheme="minorHAnsi"/>
          <w:sz w:val="24"/>
          <w:szCs w:val="24"/>
          <w:lang w:eastAsia="en-US"/>
        </w:rPr>
        <w:t xml:space="preserve"> o desenvolvimento de centros de referência especializados para tratamento e pesquisa sobre a Síndrome de Guillain-Barré; e</w:t>
      </w:r>
    </w:p>
    <w:p w14:paraId="7A8B2CED" w14:textId="77777777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sz w:val="24"/>
          <w:szCs w:val="24"/>
          <w:lang w:eastAsia="en-US"/>
        </w:rPr>
        <w:t xml:space="preserve">V - </w:t>
      </w:r>
      <w:proofErr w:type="gramStart"/>
      <w:r w:rsidRPr="00DD26CB">
        <w:rPr>
          <w:rFonts w:eastAsiaTheme="minorHAnsi"/>
          <w:sz w:val="24"/>
          <w:szCs w:val="24"/>
          <w:lang w:eastAsia="en-US"/>
        </w:rPr>
        <w:t>apoiar</w:t>
      </w:r>
      <w:proofErr w:type="gramEnd"/>
      <w:r w:rsidRPr="00DD26CB">
        <w:rPr>
          <w:rFonts w:eastAsiaTheme="minorHAnsi"/>
          <w:sz w:val="24"/>
          <w:szCs w:val="24"/>
          <w:lang w:eastAsia="en-US"/>
        </w:rPr>
        <w:t xml:space="preserve"> a inclusão social e a adaptação dos ambientes escolar e de trabalho para pessoas com Síndrome de Guillain-Barré. </w:t>
      </w:r>
    </w:p>
    <w:p w14:paraId="37D51FBD" w14:textId="31C5095E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Art. </w:t>
      </w:r>
      <w:r w:rsidR="00032889">
        <w:rPr>
          <w:rFonts w:eastAsiaTheme="minorHAnsi"/>
          <w:b/>
          <w:bCs/>
          <w:sz w:val="24"/>
          <w:szCs w:val="24"/>
          <w:lang w:eastAsia="en-US"/>
        </w:rPr>
        <w:t>3º</w:t>
      </w: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D26CB">
        <w:rPr>
          <w:rFonts w:eastAsiaTheme="minorHAnsi"/>
          <w:sz w:val="24"/>
          <w:szCs w:val="24"/>
          <w:lang w:eastAsia="en-US"/>
        </w:rPr>
        <w:t>A identificação da pessoa com Síndrome de Guillain-Barré será realizada através de uma carteira própria que dará acesso aos direitos garantidos por esta Lei e promoverá a conscientização sobre a condição.</w:t>
      </w:r>
    </w:p>
    <w:p w14:paraId="062F6517" w14:textId="4E8B82FF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Art. </w:t>
      </w:r>
      <w:r w:rsidR="00032889">
        <w:rPr>
          <w:rFonts w:eastAsiaTheme="minorHAnsi"/>
          <w:b/>
          <w:bCs/>
          <w:sz w:val="24"/>
          <w:szCs w:val="24"/>
          <w:lang w:eastAsia="en-US"/>
        </w:rPr>
        <w:t>4</w:t>
      </w: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º </w:t>
      </w:r>
      <w:r w:rsidRPr="00DD26CB">
        <w:rPr>
          <w:rFonts w:eastAsiaTheme="minorHAnsi"/>
          <w:sz w:val="24"/>
          <w:szCs w:val="24"/>
          <w:lang w:eastAsia="en-US"/>
        </w:rPr>
        <w:t xml:space="preserve">A pessoa com Síndrome de Guillain-Barré terá garantidos todos os direitos previstos nesta Lei, sem discriminação de qualquer natureza, assegurando-se tratamento digno e justo. </w:t>
      </w:r>
    </w:p>
    <w:p w14:paraId="06A91993" w14:textId="369D9645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Art. </w:t>
      </w:r>
      <w:r w:rsidR="00032889">
        <w:rPr>
          <w:rFonts w:eastAsiaTheme="minorHAnsi"/>
          <w:b/>
          <w:bCs/>
          <w:sz w:val="24"/>
          <w:szCs w:val="24"/>
          <w:lang w:eastAsia="en-US"/>
        </w:rPr>
        <w:t>5º</w:t>
      </w: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D26CB">
        <w:rPr>
          <w:rFonts w:eastAsiaTheme="minorHAnsi"/>
          <w:sz w:val="24"/>
          <w:szCs w:val="24"/>
          <w:lang w:eastAsia="en-US"/>
        </w:rPr>
        <w:t>Para o cumprimento das diretrizes desta Lei, o poder público poderá firmar parcerias com entidades privadas e organizações não governamentais especializadas.</w:t>
      </w:r>
    </w:p>
    <w:p w14:paraId="2046DCEB" w14:textId="08B03AE3" w:rsid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Art. </w:t>
      </w:r>
      <w:r w:rsidR="00032889">
        <w:rPr>
          <w:rFonts w:eastAsiaTheme="minorHAnsi"/>
          <w:b/>
          <w:bCs/>
          <w:sz w:val="24"/>
          <w:szCs w:val="24"/>
          <w:lang w:eastAsia="en-US"/>
        </w:rPr>
        <w:t>6º</w:t>
      </w: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D26CB">
        <w:rPr>
          <w:rFonts w:eastAsiaTheme="minorHAnsi"/>
          <w:sz w:val="24"/>
          <w:szCs w:val="24"/>
          <w:lang w:eastAsia="en-US"/>
        </w:rPr>
        <w:t xml:space="preserve">O Estado deverá criar e manter um banco de dados atualizado com informações sobre os pacientes com Síndrome de Guillain-Barré, visando melhorar o acompanhamento e a eficácia dos tratamentos oferecidos. </w:t>
      </w:r>
    </w:p>
    <w:p w14:paraId="51DBB6FF" w14:textId="6A86574B" w:rsidR="00032889" w:rsidRPr="00DD26CB" w:rsidRDefault="00032889" w:rsidP="00032889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032889">
        <w:rPr>
          <w:rFonts w:eastAsiaTheme="minorHAnsi"/>
          <w:b/>
          <w:bCs/>
          <w:sz w:val="24"/>
          <w:szCs w:val="24"/>
          <w:lang w:eastAsia="en-US"/>
        </w:rPr>
        <w:t>Art. 7º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32889">
        <w:rPr>
          <w:rFonts w:eastAsiaTheme="minorHAnsi"/>
          <w:sz w:val="24"/>
          <w:szCs w:val="24"/>
          <w:lang w:eastAsia="en-US"/>
        </w:rPr>
        <w:t>O Poder Executivo expedirá os regulamentos necessários para a fiel execução desta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32889">
        <w:rPr>
          <w:rFonts w:eastAsiaTheme="minorHAnsi"/>
          <w:sz w:val="24"/>
          <w:szCs w:val="24"/>
          <w:lang w:eastAsia="en-US"/>
        </w:rPr>
        <w:t>Lei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6A1DA82" w14:textId="0CEB7ED1" w:rsidR="00DD26CB" w:rsidRPr="00DD26CB" w:rsidRDefault="00DD26CB" w:rsidP="00DD26CB">
      <w:pPr>
        <w:tabs>
          <w:tab w:val="left" w:pos="1440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D26CB">
        <w:rPr>
          <w:rFonts w:eastAsiaTheme="minorHAnsi"/>
          <w:b/>
          <w:bCs/>
          <w:sz w:val="24"/>
          <w:szCs w:val="24"/>
          <w:lang w:eastAsia="en-US"/>
        </w:rPr>
        <w:t xml:space="preserve">Art. </w:t>
      </w:r>
      <w:r w:rsidR="00032889">
        <w:rPr>
          <w:rFonts w:eastAsiaTheme="minorHAnsi"/>
          <w:b/>
          <w:bCs/>
          <w:sz w:val="24"/>
          <w:szCs w:val="24"/>
          <w:lang w:eastAsia="en-US"/>
        </w:rPr>
        <w:t xml:space="preserve">8º </w:t>
      </w:r>
      <w:r w:rsidRPr="00DD26CB">
        <w:rPr>
          <w:rFonts w:eastAsiaTheme="minorHAnsi"/>
          <w:sz w:val="24"/>
          <w:szCs w:val="24"/>
          <w:lang w:eastAsia="en-US"/>
        </w:rPr>
        <w:t>Esta Lei entra em vigor na data de sua publicação.</w:t>
      </w:r>
    </w:p>
    <w:p w14:paraId="776C73A4" w14:textId="77777777" w:rsidR="00DD26CB" w:rsidRDefault="00DD26CB" w:rsidP="00DD26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sz w:val="24"/>
          <w:szCs w:val="24"/>
        </w:rPr>
      </w:pPr>
    </w:p>
    <w:p w14:paraId="2B95849E" w14:textId="77777777" w:rsidR="00DD26CB" w:rsidRDefault="00DD26CB" w:rsidP="00DD26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sz w:val="24"/>
          <w:szCs w:val="24"/>
        </w:rPr>
      </w:pPr>
    </w:p>
    <w:p w14:paraId="75C2B86E" w14:textId="77777777" w:rsid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53EEE03B" w14:textId="77777777" w:rsidR="00DD26CB" w:rsidRPr="00543F18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0B3EB6B6" w14:textId="77777777" w:rsidR="00DD26CB" w:rsidRPr="00543F18" w:rsidRDefault="00DD26CB" w:rsidP="00543F1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4A2B04EC" w14:textId="77777777" w:rsidR="00543F18" w:rsidRPr="00543F18" w:rsidRDefault="00543F18" w:rsidP="00543F1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73A2501F" w14:textId="77777777" w:rsidR="00543F18" w:rsidRDefault="00543F18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</w:p>
    <w:bookmarkEnd w:id="0"/>
    <w:sectPr w:rsidR="00543F18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32889"/>
    <w:rsid w:val="000C522A"/>
    <w:rsid w:val="000D261B"/>
    <w:rsid w:val="000E017E"/>
    <w:rsid w:val="000E187B"/>
    <w:rsid w:val="00137B7F"/>
    <w:rsid w:val="00184544"/>
    <w:rsid w:val="001A2F92"/>
    <w:rsid w:val="001D369A"/>
    <w:rsid w:val="001E1CA1"/>
    <w:rsid w:val="00257AEA"/>
    <w:rsid w:val="00293ABE"/>
    <w:rsid w:val="002D5B6D"/>
    <w:rsid w:val="00325925"/>
    <w:rsid w:val="003D406A"/>
    <w:rsid w:val="003D4622"/>
    <w:rsid w:val="00460C94"/>
    <w:rsid w:val="004708AE"/>
    <w:rsid w:val="00477751"/>
    <w:rsid w:val="004A11CE"/>
    <w:rsid w:val="004B6D43"/>
    <w:rsid w:val="004C0E60"/>
    <w:rsid w:val="004C4364"/>
    <w:rsid w:val="00515FA7"/>
    <w:rsid w:val="00520867"/>
    <w:rsid w:val="00543F18"/>
    <w:rsid w:val="005539C0"/>
    <w:rsid w:val="005C2796"/>
    <w:rsid w:val="00647C78"/>
    <w:rsid w:val="00651A3F"/>
    <w:rsid w:val="00695E14"/>
    <w:rsid w:val="006F5923"/>
    <w:rsid w:val="00703365"/>
    <w:rsid w:val="00717F3D"/>
    <w:rsid w:val="007475C0"/>
    <w:rsid w:val="007573C8"/>
    <w:rsid w:val="00760DF0"/>
    <w:rsid w:val="00791794"/>
    <w:rsid w:val="007A2ED0"/>
    <w:rsid w:val="007B6356"/>
    <w:rsid w:val="007C1E54"/>
    <w:rsid w:val="007C56DA"/>
    <w:rsid w:val="007C6423"/>
    <w:rsid w:val="007C7189"/>
    <w:rsid w:val="008024A6"/>
    <w:rsid w:val="0083463B"/>
    <w:rsid w:val="00844767"/>
    <w:rsid w:val="0087756A"/>
    <w:rsid w:val="00905C4D"/>
    <w:rsid w:val="009759D4"/>
    <w:rsid w:val="00993BB0"/>
    <w:rsid w:val="009C161F"/>
    <w:rsid w:val="009C5A4D"/>
    <w:rsid w:val="009C69C4"/>
    <w:rsid w:val="009D46CF"/>
    <w:rsid w:val="00A018F2"/>
    <w:rsid w:val="00A02ADD"/>
    <w:rsid w:val="00A16471"/>
    <w:rsid w:val="00A21384"/>
    <w:rsid w:val="00AB0E0B"/>
    <w:rsid w:val="00AD3B9F"/>
    <w:rsid w:val="00B102D1"/>
    <w:rsid w:val="00B31B75"/>
    <w:rsid w:val="00B555A8"/>
    <w:rsid w:val="00B67B22"/>
    <w:rsid w:val="00BE5CC3"/>
    <w:rsid w:val="00C30FF7"/>
    <w:rsid w:val="00C36B49"/>
    <w:rsid w:val="00C65289"/>
    <w:rsid w:val="00C7717E"/>
    <w:rsid w:val="00C81933"/>
    <w:rsid w:val="00D239D3"/>
    <w:rsid w:val="00D2444A"/>
    <w:rsid w:val="00D2636E"/>
    <w:rsid w:val="00D6651E"/>
    <w:rsid w:val="00D71A62"/>
    <w:rsid w:val="00DD26CB"/>
    <w:rsid w:val="00DD34FB"/>
    <w:rsid w:val="00DF0D86"/>
    <w:rsid w:val="00E3124D"/>
    <w:rsid w:val="00E40CA0"/>
    <w:rsid w:val="00E4517E"/>
    <w:rsid w:val="00E669CB"/>
    <w:rsid w:val="00E73B0E"/>
    <w:rsid w:val="00E91966"/>
    <w:rsid w:val="00F25C7A"/>
    <w:rsid w:val="00F63AB6"/>
    <w:rsid w:val="00F66515"/>
    <w:rsid w:val="00F862A9"/>
    <w:rsid w:val="00F907C9"/>
    <w:rsid w:val="00FA490F"/>
    <w:rsid w:val="00FE57A6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F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1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2</cp:revision>
  <cp:lastPrinted>2023-02-27T13:06:00Z</cp:lastPrinted>
  <dcterms:created xsi:type="dcterms:W3CDTF">2024-10-22T18:39:00Z</dcterms:created>
  <dcterms:modified xsi:type="dcterms:W3CDTF">2024-10-22T18:39:00Z</dcterms:modified>
</cp:coreProperties>
</file>