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1F2C9" w14:textId="77777777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bookmarkStart w:id="0" w:name="_Hlk45179889"/>
      <w:r w:rsidRPr="00E669CB">
        <w:rPr>
          <w:rFonts w:eastAsia="Calibri"/>
          <w:b/>
          <w:sz w:val="22"/>
          <w:szCs w:val="22"/>
          <w:u w:val="single"/>
        </w:rPr>
        <w:t>COMISSÃO DE CONSTITUIÇÃO, JUSTIÇA E CIDADANIA</w:t>
      </w:r>
    </w:p>
    <w:p w14:paraId="129BFDB0" w14:textId="451E071C" w:rsidR="00FF6498" w:rsidRPr="00E669CB" w:rsidRDefault="00FF6498" w:rsidP="00FF6498">
      <w:pPr>
        <w:spacing w:line="360" w:lineRule="auto"/>
        <w:jc w:val="center"/>
        <w:rPr>
          <w:rFonts w:eastAsia="Calibri"/>
          <w:b/>
          <w:sz w:val="22"/>
          <w:szCs w:val="22"/>
          <w:u w:val="single"/>
        </w:rPr>
      </w:pPr>
      <w:r w:rsidRPr="00E669CB">
        <w:rPr>
          <w:rFonts w:eastAsia="Calibri"/>
          <w:b/>
          <w:sz w:val="22"/>
          <w:szCs w:val="22"/>
          <w:u w:val="single"/>
        </w:rPr>
        <w:t xml:space="preserve">PARECER </w:t>
      </w:r>
      <w:r w:rsidR="00477751" w:rsidRPr="00E669CB">
        <w:rPr>
          <w:rFonts w:eastAsia="Calibri"/>
          <w:b/>
          <w:sz w:val="22"/>
          <w:szCs w:val="22"/>
          <w:u w:val="single"/>
        </w:rPr>
        <w:t xml:space="preserve">Nº </w:t>
      </w:r>
      <w:r w:rsidR="009E44ED">
        <w:rPr>
          <w:rFonts w:eastAsia="Calibri"/>
          <w:b/>
          <w:sz w:val="22"/>
          <w:szCs w:val="22"/>
          <w:u w:val="single"/>
        </w:rPr>
        <w:t>780</w:t>
      </w:r>
      <w:r w:rsidR="00515FA7">
        <w:rPr>
          <w:rFonts w:eastAsia="Calibri"/>
          <w:b/>
          <w:sz w:val="22"/>
          <w:szCs w:val="22"/>
          <w:u w:val="single"/>
        </w:rPr>
        <w:t xml:space="preserve"> </w:t>
      </w:r>
      <w:r w:rsidRPr="00E669CB">
        <w:rPr>
          <w:rFonts w:eastAsia="Calibri"/>
          <w:b/>
          <w:sz w:val="22"/>
          <w:szCs w:val="22"/>
          <w:u w:val="single"/>
        </w:rPr>
        <w:t>/20</w:t>
      </w:r>
      <w:r w:rsidR="00C7717E" w:rsidRPr="00E669CB">
        <w:rPr>
          <w:rFonts w:eastAsia="Calibri"/>
          <w:b/>
          <w:sz w:val="22"/>
          <w:szCs w:val="22"/>
          <w:u w:val="single"/>
        </w:rPr>
        <w:t>2</w:t>
      </w:r>
      <w:r w:rsidR="00515FA7">
        <w:rPr>
          <w:rFonts w:eastAsia="Calibri"/>
          <w:b/>
          <w:sz w:val="22"/>
          <w:szCs w:val="22"/>
          <w:u w:val="single"/>
        </w:rPr>
        <w:t>4</w:t>
      </w:r>
    </w:p>
    <w:p w14:paraId="562EDE88" w14:textId="7EA9A5A9" w:rsidR="00FF5E60" w:rsidRPr="00E669CB" w:rsidRDefault="00FF5E60" w:rsidP="00FF5E60">
      <w:pPr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E669CB">
        <w:rPr>
          <w:b/>
          <w:color w:val="000000" w:themeColor="text1"/>
          <w:sz w:val="22"/>
          <w:szCs w:val="22"/>
          <w:u w:val="single"/>
        </w:rPr>
        <w:t>RELATÓRIO</w:t>
      </w:r>
      <w:r w:rsidR="00FF6498" w:rsidRPr="00E669CB">
        <w:rPr>
          <w:b/>
          <w:color w:val="000000" w:themeColor="text1"/>
          <w:sz w:val="22"/>
          <w:szCs w:val="22"/>
          <w:u w:val="single"/>
        </w:rPr>
        <w:t>:</w:t>
      </w:r>
    </w:p>
    <w:p w14:paraId="3042FFDD" w14:textId="334580F4" w:rsidR="009E44ED" w:rsidRPr="00B70A5D" w:rsidRDefault="00B70A5D" w:rsidP="009E44ED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>
        <w:rPr>
          <w:iCs/>
          <w:color w:val="000000" w:themeColor="text1"/>
          <w:sz w:val="24"/>
          <w:szCs w:val="24"/>
        </w:rPr>
        <w:t xml:space="preserve">    </w:t>
      </w:r>
      <w:r w:rsidR="009E44ED" w:rsidRPr="00B70A5D">
        <w:rPr>
          <w:iCs/>
          <w:color w:val="000000" w:themeColor="text1"/>
          <w:sz w:val="22"/>
          <w:szCs w:val="22"/>
        </w:rPr>
        <w:t>T</w:t>
      </w:r>
      <w:r w:rsidR="009E44ED" w:rsidRPr="00B70A5D">
        <w:rPr>
          <w:rFonts w:eastAsia="Calibri"/>
          <w:sz w:val="22"/>
          <w:szCs w:val="22"/>
          <w:lang w:eastAsia="en-US"/>
        </w:rPr>
        <w:t xml:space="preserve">rata-se da </w:t>
      </w:r>
      <w:r w:rsidR="009E44ED" w:rsidRPr="00B70A5D">
        <w:rPr>
          <w:rFonts w:eastAsia="Calibri"/>
          <w:color w:val="000000"/>
          <w:sz w:val="22"/>
          <w:szCs w:val="22"/>
          <w:lang w:eastAsia="en-US"/>
        </w:rPr>
        <w:t xml:space="preserve">análise da </w:t>
      </w:r>
      <w:r w:rsidR="009E44ED" w:rsidRPr="00B70A5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constitucionalidade, </w:t>
      </w:r>
      <w:proofErr w:type="spellStart"/>
      <w:r w:rsidR="009E44ED" w:rsidRPr="00B70A5D">
        <w:rPr>
          <w:rFonts w:eastAsia="Calibri"/>
          <w:b/>
          <w:bCs/>
          <w:color w:val="000000"/>
          <w:sz w:val="22"/>
          <w:szCs w:val="22"/>
          <w:lang w:eastAsia="en-US"/>
        </w:rPr>
        <w:t>regimentalidade</w:t>
      </w:r>
      <w:proofErr w:type="spellEnd"/>
      <w:r w:rsidR="009E44ED" w:rsidRPr="00B70A5D">
        <w:rPr>
          <w:rFonts w:eastAsia="Calibri"/>
          <w:b/>
          <w:bCs/>
          <w:color w:val="000000"/>
          <w:sz w:val="22"/>
          <w:szCs w:val="22"/>
          <w:lang w:eastAsia="en-US"/>
        </w:rPr>
        <w:t>, juridicidade e legalidade</w:t>
      </w:r>
      <w:r w:rsidR="009E44ED" w:rsidRPr="00B70A5D">
        <w:rPr>
          <w:rFonts w:eastAsia="Calibri"/>
          <w:color w:val="000000"/>
          <w:sz w:val="22"/>
          <w:szCs w:val="22"/>
          <w:lang w:eastAsia="en-US"/>
        </w:rPr>
        <w:t xml:space="preserve"> do</w:t>
      </w:r>
      <w:r w:rsidR="009E44ED" w:rsidRPr="00B70A5D">
        <w:rPr>
          <w:rFonts w:eastAsia="Calibri"/>
          <w:sz w:val="22"/>
          <w:szCs w:val="22"/>
          <w:lang w:eastAsia="en-US"/>
        </w:rPr>
        <w:t xml:space="preserve"> </w:t>
      </w:r>
      <w:r w:rsidR="009E44ED" w:rsidRPr="00B70A5D">
        <w:rPr>
          <w:rFonts w:eastAsia="Calibri"/>
          <w:b/>
          <w:bCs/>
          <w:sz w:val="22"/>
          <w:szCs w:val="22"/>
          <w:lang w:eastAsia="en-US"/>
        </w:rPr>
        <w:t>Projeto de Lei nº 387/2024, de autoria do Senhor Deputado Wellington do Curso,</w:t>
      </w:r>
      <w:r w:rsidR="009E44ED" w:rsidRPr="00B70A5D">
        <w:rPr>
          <w:rFonts w:eastAsia="Calibri"/>
          <w:sz w:val="22"/>
          <w:szCs w:val="22"/>
          <w:lang w:eastAsia="en-US"/>
        </w:rPr>
        <w:t xml:space="preserve"> que</w:t>
      </w:r>
      <w:r w:rsidR="009E44ED" w:rsidRPr="00B70A5D">
        <w:rPr>
          <w:rFonts w:eastAsia="Calibri"/>
          <w:i/>
          <w:iCs/>
          <w:sz w:val="22"/>
          <w:szCs w:val="22"/>
          <w:lang w:eastAsia="en-US"/>
        </w:rPr>
        <w:t xml:space="preserve"> “Cria o Plano Estadual de Atenção à Doença Pulmonar Obstrutiva Crônica (DPOC) no Estado do Maranhão e dá outras providências.”</w:t>
      </w:r>
    </w:p>
    <w:p w14:paraId="63375006" w14:textId="77777777" w:rsidR="00B70A5D" w:rsidRPr="00B70A5D" w:rsidRDefault="00B70A5D" w:rsidP="00B70A5D">
      <w:pPr>
        <w:spacing w:line="360" w:lineRule="auto"/>
        <w:ind w:firstLine="1134"/>
        <w:jc w:val="both"/>
        <w:rPr>
          <w:sz w:val="22"/>
          <w:szCs w:val="22"/>
        </w:rPr>
      </w:pPr>
      <w:r w:rsidRPr="00B70A5D">
        <w:rPr>
          <w:sz w:val="22"/>
          <w:szCs w:val="22"/>
        </w:rPr>
        <w:t xml:space="preserve">Tendo em vista que a matéria contida no bojo da proposição relaciona-se à criação de obrigação de despesa para o Poder Executivo Estadual, e que não prevê </w:t>
      </w:r>
      <w:r w:rsidRPr="00B70A5D">
        <w:rPr>
          <w:b/>
          <w:bCs/>
          <w:sz w:val="22"/>
          <w:szCs w:val="22"/>
        </w:rPr>
        <w:t>dotação orçamentária</w:t>
      </w:r>
      <w:r w:rsidRPr="00B70A5D">
        <w:rPr>
          <w:sz w:val="22"/>
          <w:szCs w:val="22"/>
        </w:rPr>
        <w:t xml:space="preserve"> </w:t>
      </w:r>
      <w:r w:rsidRPr="00B70A5D">
        <w:rPr>
          <w:b/>
          <w:bCs/>
          <w:sz w:val="22"/>
          <w:szCs w:val="22"/>
        </w:rPr>
        <w:t>específica</w:t>
      </w:r>
      <w:r w:rsidRPr="00B70A5D">
        <w:rPr>
          <w:sz w:val="22"/>
          <w:szCs w:val="22"/>
        </w:rPr>
        <w:t xml:space="preserve">, a proposição se insere no âmbito daquelas de iniciativa privativa do Governador a que se refere do art. 43, da Constituição do Estado do Maranhão. </w:t>
      </w:r>
    </w:p>
    <w:p w14:paraId="5C05D81C" w14:textId="77777777" w:rsidR="00B70A5D" w:rsidRPr="00B70A5D" w:rsidRDefault="00B70A5D" w:rsidP="00B70A5D">
      <w:pPr>
        <w:spacing w:line="360" w:lineRule="auto"/>
        <w:ind w:firstLine="1134"/>
        <w:jc w:val="both"/>
        <w:rPr>
          <w:iCs/>
          <w:sz w:val="22"/>
          <w:szCs w:val="22"/>
        </w:rPr>
      </w:pPr>
      <w:r w:rsidRPr="00B70A5D">
        <w:rPr>
          <w:iCs/>
          <w:sz w:val="22"/>
          <w:szCs w:val="22"/>
        </w:rPr>
        <w:t>Assim, quando o Poder Legislativo cria despesa ou obrigação ao Poder Executivo, deixa de observar a regra da iniciativa legislativa prevista constitucionalmente, havendo objeções nesta fase do processo legislativo.</w:t>
      </w:r>
    </w:p>
    <w:p w14:paraId="411F0999" w14:textId="77777777" w:rsidR="00B70A5D" w:rsidRPr="00B70A5D" w:rsidRDefault="00B70A5D" w:rsidP="00B70A5D">
      <w:pPr>
        <w:spacing w:line="360" w:lineRule="auto"/>
        <w:ind w:firstLine="1134"/>
        <w:jc w:val="both"/>
        <w:rPr>
          <w:iCs/>
          <w:sz w:val="22"/>
          <w:szCs w:val="22"/>
        </w:rPr>
      </w:pPr>
      <w:r w:rsidRPr="00B70A5D">
        <w:rPr>
          <w:iCs/>
          <w:sz w:val="22"/>
          <w:szCs w:val="22"/>
        </w:rPr>
        <w:t>A questão jurídica ora analisada se funda na controvérsia sobre a iniciativa legislativa privativa (ou reservada) e a iniciativa legislativa concorrente. A esse respeito, é incontroverso que, no nosso ordenamento jurídico, a regra é a iniciativa legislativa pertencente ao Poder Legislativo e a exceção é a atribuição dessa iniciativa ao Poder Executivo e/ou a determinada categoria de agentes, entidades e órgãos.</w:t>
      </w:r>
    </w:p>
    <w:p w14:paraId="5EC001A1" w14:textId="77777777" w:rsidR="00B70A5D" w:rsidRPr="00B70A5D" w:rsidRDefault="00B70A5D" w:rsidP="00B70A5D">
      <w:pPr>
        <w:spacing w:line="360" w:lineRule="auto"/>
        <w:ind w:firstLine="1134"/>
        <w:jc w:val="both"/>
        <w:rPr>
          <w:iCs/>
          <w:sz w:val="22"/>
          <w:szCs w:val="22"/>
        </w:rPr>
      </w:pPr>
      <w:r w:rsidRPr="00B70A5D">
        <w:rPr>
          <w:iCs/>
          <w:sz w:val="22"/>
          <w:szCs w:val="22"/>
        </w:rPr>
        <w:t xml:space="preserve">Por se tratar de uma exceção, a iniciativa legislativa privativa do Poder Executivo não pode ser presumida, e as hipóteses previstas na Constituição devem sempre ser interpretadas de maneira restritiva, sob pena de transferir a iniciativa do processo legislativo (função típica do Parlamento e de seus membros) a agentes que não detém tal prerrogativa. </w:t>
      </w:r>
    </w:p>
    <w:p w14:paraId="070B6F88" w14:textId="77777777" w:rsidR="00B70A5D" w:rsidRPr="00B70A5D" w:rsidRDefault="00B70A5D" w:rsidP="00B70A5D">
      <w:pPr>
        <w:spacing w:line="360" w:lineRule="auto"/>
        <w:ind w:firstLine="1134"/>
        <w:jc w:val="both"/>
        <w:rPr>
          <w:iCs/>
          <w:sz w:val="22"/>
          <w:szCs w:val="22"/>
        </w:rPr>
      </w:pPr>
      <w:r w:rsidRPr="00B70A5D">
        <w:rPr>
          <w:sz w:val="22"/>
          <w:szCs w:val="22"/>
        </w:rPr>
        <w:t xml:space="preserve">O Poder Legislativo, ao encaminhar o Projeto de Lei, criando despesa e impondo atribuições ao Poder Executivo, invade a esfera de competência privativa do Chefe do Executivo, maculando de inconstitucionalidade a norma proposta, por afronta aos artigos 43 da Constituição Estadual, cumulados com os artigos 61, parágrafo 1º, inciso II, alínea “b”, artigo 84, inciso III e artigo 167, todos da Constituição Federal. </w:t>
      </w:r>
    </w:p>
    <w:p w14:paraId="5CC2796A" w14:textId="77777777" w:rsidR="00B70A5D" w:rsidRPr="00B70A5D" w:rsidRDefault="00B70A5D" w:rsidP="00B70A5D">
      <w:pPr>
        <w:spacing w:line="360" w:lineRule="auto"/>
        <w:ind w:firstLine="1134"/>
        <w:jc w:val="both"/>
        <w:rPr>
          <w:iCs/>
          <w:sz w:val="22"/>
          <w:szCs w:val="22"/>
        </w:rPr>
      </w:pPr>
      <w:r w:rsidRPr="00B70A5D">
        <w:rPr>
          <w:iCs/>
          <w:sz w:val="22"/>
          <w:szCs w:val="22"/>
        </w:rPr>
        <w:t>Ademais, o Supremo Tribunal Federal vem consolidando, portanto, jurisprudência em respeito tanto ao princípio da reserva de inciativa quanto ao princípio constitucional da separação dos poderes.</w:t>
      </w:r>
    </w:p>
    <w:p w14:paraId="65955CBF" w14:textId="77777777" w:rsidR="009E44ED" w:rsidRPr="00B70A5D" w:rsidRDefault="009E44ED" w:rsidP="009E44ED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7937D193" w14:textId="77777777" w:rsidR="009E44ED" w:rsidRDefault="009E44ED" w:rsidP="009E44ED">
      <w:pPr>
        <w:spacing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14:paraId="5AE82F36" w14:textId="77777777" w:rsidR="00DD26CB" w:rsidRPr="00DD26CB" w:rsidRDefault="00DD26CB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DD26CB">
        <w:rPr>
          <w:rFonts w:eastAsia="Calibri"/>
          <w:b/>
          <w:sz w:val="22"/>
          <w:szCs w:val="22"/>
          <w:u w:val="single"/>
          <w:lang w:eastAsia="en-US"/>
        </w:rPr>
        <w:t>VOTO DO RELATOR</w:t>
      </w:r>
      <w:r w:rsidRPr="00DD26CB">
        <w:rPr>
          <w:rFonts w:eastAsia="Calibri"/>
          <w:b/>
          <w:sz w:val="22"/>
          <w:szCs w:val="22"/>
          <w:lang w:eastAsia="en-US"/>
        </w:rPr>
        <w:t>:</w:t>
      </w:r>
    </w:p>
    <w:p w14:paraId="1868150E" w14:textId="5D6A6C82" w:rsidR="00DD26CB" w:rsidRPr="00DD26CB" w:rsidRDefault="00DD26CB" w:rsidP="00DD26CB">
      <w:pPr>
        <w:spacing w:line="360" w:lineRule="auto"/>
        <w:ind w:firstLine="1134"/>
        <w:jc w:val="both"/>
        <w:rPr>
          <w:sz w:val="22"/>
          <w:szCs w:val="22"/>
        </w:rPr>
      </w:pPr>
      <w:r w:rsidRPr="00DD26CB">
        <w:rPr>
          <w:sz w:val="22"/>
          <w:szCs w:val="22"/>
        </w:rPr>
        <w:t xml:space="preserve">Isto posto, opinamos pela </w:t>
      </w:r>
      <w:r w:rsidR="0023032D">
        <w:rPr>
          <w:b/>
          <w:sz w:val="22"/>
          <w:szCs w:val="22"/>
        </w:rPr>
        <w:t>REJEIÇÃO</w:t>
      </w:r>
      <w:r w:rsidRPr="00DD26CB">
        <w:rPr>
          <w:b/>
          <w:sz w:val="22"/>
          <w:szCs w:val="22"/>
        </w:rPr>
        <w:t xml:space="preserve"> do Projeto de Lei Ordinária nº </w:t>
      </w:r>
      <w:r w:rsidR="009E44ED">
        <w:rPr>
          <w:b/>
          <w:sz w:val="22"/>
          <w:szCs w:val="22"/>
        </w:rPr>
        <w:t>387</w:t>
      </w:r>
      <w:r w:rsidRPr="00DD26CB">
        <w:rPr>
          <w:b/>
          <w:sz w:val="22"/>
          <w:szCs w:val="22"/>
        </w:rPr>
        <w:t>/2024</w:t>
      </w:r>
      <w:r w:rsidRPr="00DD26CB">
        <w:rPr>
          <w:sz w:val="22"/>
          <w:szCs w:val="22"/>
        </w:rPr>
        <w:t xml:space="preserve">, </w:t>
      </w:r>
      <w:r w:rsidR="0023032D">
        <w:rPr>
          <w:sz w:val="22"/>
          <w:szCs w:val="22"/>
        </w:rPr>
        <w:t>em face de sua inconstitucionalidade.</w:t>
      </w:r>
    </w:p>
    <w:p w14:paraId="6BFC8191" w14:textId="77777777" w:rsidR="00DD26CB" w:rsidRPr="00DD26CB" w:rsidRDefault="00DD26CB" w:rsidP="00DD26CB">
      <w:pPr>
        <w:spacing w:line="360" w:lineRule="auto"/>
        <w:ind w:firstLine="1134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DD26CB">
        <w:rPr>
          <w:sz w:val="22"/>
          <w:szCs w:val="22"/>
        </w:rPr>
        <w:t>É o voto.</w:t>
      </w:r>
    </w:p>
    <w:p w14:paraId="506A5FF1" w14:textId="77777777" w:rsidR="00993BB0" w:rsidRDefault="00993BB0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  <w:u w:val="single"/>
        </w:rPr>
      </w:pPr>
    </w:p>
    <w:p w14:paraId="42F6C766" w14:textId="5305B143" w:rsidR="003D406A" w:rsidRPr="00E669CB" w:rsidRDefault="003D406A" w:rsidP="003D406A">
      <w:pPr>
        <w:tabs>
          <w:tab w:val="left" w:pos="2694"/>
        </w:tabs>
        <w:spacing w:after="120"/>
        <w:ind w:right="191"/>
        <w:rPr>
          <w:b/>
          <w:sz w:val="22"/>
          <w:szCs w:val="22"/>
        </w:rPr>
      </w:pPr>
      <w:r w:rsidRPr="00E669CB">
        <w:rPr>
          <w:b/>
          <w:sz w:val="22"/>
          <w:szCs w:val="22"/>
          <w:u w:val="single"/>
        </w:rPr>
        <w:t>PARECER DA COMISSÃO</w:t>
      </w:r>
      <w:r w:rsidRPr="00E669CB">
        <w:rPr>
          <w:b/>
          <w:sz w:val="22"/>
          <w:szCs w:val="22"/>
        </w:rPr>
        <w:t>:</w:t>
      </w:r>
    </w:p>
    <w:p w14:paraId="104C7863" w14:textId="67B3A655" w:rsidR="003D406A" w:rsidRPr="00E669CB" w:rsidRDefault="003D406A" w:rsidP="003D406A">
      <w:pPr>
        <w:spacing w:line="360" w:lineRule="auto"/>
        <w:ind w:firstLine="851"/>
        <w:jc w:val="both"/>
        <w:rPr>
          <w:rFonts w:eastAsia="Batang"/>
          <w:sz w:val="22"/>
          <w:szCs w:val="22"/>
        </w:rPr>
      </w:pPr>
      <w:r w:rsidRPr="00E669CB">
        <w:rPr>
          <w:rFonts w:eastAsia="Calibri"/>
          <w:sz w:val="22"/>
          <w:szCs w:val="22"/>
        </w:rPr>
        <w:t>Os membros da Comissão de Constituição, Justiça e Cidadania</w:t>
      </w:r>
      <w:r w:rsidRPr="00E669CB">
        <w:rPr>
          <w:rFonts w:eastAsia="Batang"/>
          <w:bCs/>
          <w:kern w:val="32"/>
          <w:sz w:val="22"/>
          <w:szCs w:val="22"/>
        </w:rPr>
        <w:t xml:space="preserve"> votam pela </w:t>
      </w:r>
      <w:r w:rsidR="0023032D">
        <w:rPr>
          <w:rFonts w:eastAsia="Calibri"/>
          <w:b/>
          <w:sz w:val="22"/>
          <w:szCs w:val="22"/>
        </w:rPr>
        <w:t>rejeição</w:t>
      </w:r>
      <w:r w:rsidRPr="00E669CB">
        <w:rPr>
          <w:rFonts w:eastAsia="Calibri"/>
          <w:sz w:val="22"/>
          <w:szCs w:val="22"/>
        </w:rPr>
        <w:t xml:space="preserve"> do </w:t>
      </w:r>
      <w:r w:rsidRPr="00E669CB">
        <w:rPr>
          <w:rFonts w:eastAsia="Calibri"/>
          <w:b/>
          <w:sz w:val="22"/>
          <w:szCs w:val="22"/>
        </w:rPr>
        <w:t xml:space="preserve">Projeto de Lei Ordinária </w:t>
      </w:r>
      <w:r w:rsidR="009D46CF" w:rsidRPr="009D46CF">
        <w:rPr>
          <w:rFonts w:eastAsia="Calibri"/>
          <w:b/>
          <w:sz w:val="22"/>
          <w:szCs w:val="22"/>
        </w:rPr>
        <w:t xml:space="preserve">nº </w:t>
      </w:r>
      <w:r w:rsidR="00DD26CB">
        <w:rPr>
          <w:rFonts w:eastAsia="Calibri"/>
          <w:b/>
          <w:sz w:val="22"/>
          <w:szCs w:val="22"/>
        </w:rPr>
        <w:t>3</w:t>
      </w:r>
      <w:r w:rsidR="009E44ED">
        <w:rPr>
          <w:rFonts w:eastAsia="Calibri"/>
          <w:b/>
          <w:sz w:val="22"/>
          <w:szCs w:val="22"/>
        </w:rPr>
        <w:t>87</w:t>
      </w:r>
      <w:r w:rsidR="00E40CA0">
        <w:rPr>
          <w:rFonts w:eastAsia="Calibri"/>
          <w:b/>
          <w:sz w:val="22"/>
          <w:szCs w:val="22"/>
        </w:rPr>
        <w:t>/2024</w:t>
      </w:r>
      <w:r w:rsidRPr="009D46CF">
        <w:rPr>
          <w:rFonts w:eastAsia="Calibri"/>
          <w:sz w:val="22"/>
          <w:szCs w:val="22"/>
        </w:rPr>
        <w:t xml:space="preserve">, </w:t>
      </w:r>
      <w:r w:rsidRPr="00F862A9">
        <w:rPr>
          <w:rFonts w:eastAsia="Calibri"/>
          <w:sz w:val="22"/>
          <w:szCs w:val="22"/>
        </w:rPr>
        <w:t xml:space="preserve">nos termos </w:t>
      </w:r>
      <w:r w:rsidRPr="00E669CB">
        <w:rPr>
          <w:rFonts w:eastAsia="Calibri"/>
          <w:sz w:val="22"/>
          <w:szCs w:val="22"/>
        </w:rPr>
        <w:t>do voto do Relator.</w:t>
      </w:r>
    </w:p>
    <w:p w14:paraId="60B33538" w14:textId="77777777" w:rsidR="003D406A" w:rsidRDefault="003D406A" w:rsidP="003D406A">
      <w:pPr>
        <w:autoSpaceDE w:val="0"/>
        <w:autoSpaceDN w:val="0"/>
        <w:adjustRightInd w:val="0"/>
        <w:spacing w:before="120" w:after="120" w:line="360" w:lineRule="auto"/>
        <w:ind w:firstLine="851"/>
        <w:jc w:val="both"/>
        <w:rPr>
          <w:sz w:val="22"/>
          <w:szCs w:val="22"/>
        </w:rPr>
      </w:pPr>
      <w:r w:rsidRPr="00E669CB">
        <w:rPr>
          <w:sz w:val="22"/>
          <w:szCs w:val="22"/>
        </w:rPr>
        <w:t>É o parecer.</w:t>
      </w:r>
    </w:p>
    <w:p w14:paraId="7DB34E64" w14:textId="14B3E905" w:rsidR="00543F18" w:rsidRPr="00543F18" w:rsidRDefault="00543F18" w:rsidP="00543F18">
      <w:pPr>
        <w:spacing w:after="200" w:line="360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 xml:space="preserve">SALA DAS COMISSÕES “DEPUTADO LÉO FRANKLIM”, em </w:t>
      </w:r>
      <w:r w:rsidR="00DD26CB">
        <w:rPr>
          <w:rFonts w:eastAsia="Calibri"/>
          <w:sz w:val="22"/>
          <w:szCs w:val="22"/>
          <w:lang w:eastAsia="en-US"/>
        </w:rPr>
        <w:t>22</w:t>
      </w:r>
      <w:r w:rsidRPr="00543F18">
        <w:rPr>
          <w:rFonts w:eastAsia="Calibri"/>
          <w:sz w:val="22"/>
          <w:szCs w:val="22"/>
          <w:lang w:eastAsia="en-US"/>
        </w:rPr>
        <w:t xml:space="preserve"> de outubro de 2024.  </w:t>
      </w:r>
    </w:p>
    <w:p w14:paraId="0295369E" w14:textId="2EB36D9C" w:rsidR="002C586F" w:rsidRDefault="00543F18" w:rsidP="002C586F">
      <w:pPr>
        <w:autoSpaceDE w:val="0"/>
        <w:autoSpaceDN w:val="0"/>
        <w:adjustRightInd w:val="0"/>
        <w:spacing w:after="200" w:line="360" w:lineRule="auto"/>
        <w:ind w:left="3969" w:hanging="3969"/>
        <w:jc w:val="both"/>
        <w:rPr>
          <w:color w:val="000000"/>
          <w:sz w:val="22"/>
          <w:szCs w:val="22"/>
          <w:lang w:eastAsia="en-US"/>
        </w:rPr>
      </w:pPr>
      <w:r w:rsidRPr="00543F18">
        <w:rPr>
          <w:rFonts w:eastAsia="Calibri"/>
          <w:sz w:val="22"/>
          <w:szCs w:val="22"/>
          <w:lang w:eastAsia="en-US"/>
        </w:rPr>
        <w:t xml:space="preserve"> </w:t>
      </w:r>
      <w:r w:rsidRPr="00543F18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</w:t>
      </w:r>
      <w:r w:rsidR="002C586F">
        <w:rPr>
          <w:rFonts w:eastAsia="Calibri"/>
          <w:color w:val="000000"/>
          <w:sz w:val="22"/>
          <w:szCs w:val="22"/>
          <w:lang w:eastAsia="en-US"/>
        </w:rPr>
        <w:t xml:space="preserve">                                </w:t>
      </w:r>
      <w:r w:rsidRPr="00543F18">
        <w:rPr>
          <w:rFonts w:eastAsia="Calibri"/>
          <w:color w:val="000000"/>
          <w:sz w:val="22"/>
          <w:szCs w:val="22"/>
          <w:lang w:eastAsia="en-US"/>
        </w:rPr>
        <w:t xml:space="preserve">   </w:t>
      </w:r>
      <w:r w:rsidR="002C586F">
        <w:rPr>
          <w:b/>
          <w:color w:val="000000"/>
          <w:sz w:val="22"/>
          <w:szCs w:val="22"/>
          <w:lang w:eastAsia="en-US"/>
        </w:rPr>
        <w:t>Presidente</w:t>
      </w:r>
      <w:r w:rsidR="002C586F">
        <w:rPr>
          <w:color w:val="000000"/>
          <w:sz w:val="22"/>
          <w:szCs w:val="22"/>
          <w:lang w:eastAsia="en-US"/>
        </w:rPr>
        <w:t>: Deputado Neto Evangelista</w:t>
      </w:r>
    </w:p>
    <w:p w14:paraId="315CFC8D" w14:textId="349ACBA9" w:rsidR="002C586F" w:rsidRDefault="002C586F" w:rsidP="002C586F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 xml:space="preserve">                                                           Relator: </w:t>
      </w:r>
      <w:r>
        <w:rPr>
          <w:bCs/>
          <w:color w:val="000000"/>
          <w:sz w:val="22"/>
          <w:szCs w:val="22"/>
          <w:lang w:eastAsia="en-US"/>
        </w:rPr>
        <w:t>Deputado Florêncio Neto</w:t>
      </w:r>
    </w:p>
    <w:p w14:paraId="57518D0F" w14:textId="77777777" w:rsidR="002C586F" w:rsidRDefault="002C586F" w:rsidP="002C586F">
      <w:pPr>
        <w:autoSpaceDE w:val="0"/>
        <w:autoSpaceDN w:val="0"/>
        <w:adjustRightInd w:val="0"/>
        <w:spacing w:after="200" w:line="360" w:lineRule="auto"/>
        <w:jc w:val="both"/>
        <w:rPr>
          <w:color w:val="000000"/>
          <w:sz w:val="22"/>
          <w:szCs w:val="22"/>
          <w:lang w:eastAsia="en-US"/>
        </w:rPr>
      </w:pPr>
      <w:r>
        <w:rPr>
          <w:b/>
          <w:color w:val="000000"/>
          <w:sz w:val="22"/>
          <w:szCs w:val="22"/>
          <w:lang w:eastAsia="en-US"/>
        </w:rPr>
        <w:t>Vota a favor:                                                    Vota contra:</w:t>
      </w:r>
    </w:p>
    <w:p w14:paraId="6E9D4F24" w14:textId="77777777" w:rsidR="002C586F" w:rsidRDefault="002C586F" w:rsidP="002C58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Ariston                                         ______________________________ </w:t>
      </w:r>
    </w:p>
    <w:p w14:paraId="23F1F7FD" w14:textId="77777777" w:rsidR="002C586F" w:rsidRDefault="002C586F" w:rsidP="002C58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Glalbert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Cutrim                           ______________________________ </w:t>
      </w:r>
    </w:p>
    <w:p w14:paraId="14C36B92" w14:textId="517FE1D8" w:rsidR="002C586F" w:rsidRDefault="002C586F" w:rsidP="002C58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Davi Brandão                              ______________________________ </w:t>
      </w:r>
    </w:p>
    <w:p w14:paraId="28027E88" w14:textId="77777777" w:rsidR="002C586F" w:rsidRDefault="002C586F" w:rsidP="002C586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Deputado Doutor Yglésio                            ______________________________ </w:t>
      </w:r>
    </w:p>
    <w:p w14:paraId="4E2CCA84" w14:textId="460894E8" w:rsidR="00DD26CB" w:rsidRDefault="002C586F" w:rsidP="00DD26CB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______________________________         ______________________________</w:t>
      </w:r>
    </w:p>
    <w:bookmarkEnd w:id="0"/>
    <w:sectPr w:rsidR="00DD26CB" w:rsidSect="00FF6498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A46E" w14:textId="77777777" w:rsidR="00DD34FB" w:rsidRDefault="00FF6498">
      <w:r>
        <w:separator/>
      </w:r>
    </w:p>
  </w:endnote>
  <w:endnote w:type="continuationSeparator" w:id="0">
    <w:p w14:paraId="6FF6EF8A" w14:textId="77777777" w:rsidR="00DD34FB" w:rsidRDefault="00FF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A4555" w14:textId="77777777" w:rsidR="00DD34FB" w:rsidRDefault="00FF6498">
      <w:r>
        <w:separator/>
      </w:r>
    </w:p>
  </w:footnote>
  <w:footnote w:type="continuationSeparator" w:id="0">
    <w:p w14:paraId="1417277D" w14:textId="77777777" w:rsidR="00DD34FB" w:rsidRDefault="00FF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FC27" w14:textId="77777777" w:rsidR="00FF6498" w:rsidRPr="0052305E" w:rsidRDefault="00FF6498" w:rsidP="00FF6498">
    <w:pPr>
      <w:tabs>
        <w:tab w:val="center" w:pos="4252"/>
        <w:tab w:val="right" w:pos="8504"/>
      </w:tabs>
      <w:ind w:right="360"/>
      <w:jc w:val="center"/>
      <w:rPr>
        <w:rFonts w:ascii="Calibri" w:eastAsia="Calibri" w:hAnsi="Calibri"/>
        <w:b/>
        <w:color w:val="000080"/>
        <w:sz w:val="18"/>
        <w:szCs w:val="18"/>
      </w:rPr>
    </w:pPr>
    <w:r w:rsidRPr="0052305E">
      <w:rPr>
        <w:rFonts w:ascii="Calibri" w:eastAsia="Calibri" w:hAnsi="Calibri"/>
        <w:noProof/>
        <w:sz w:val="18"/>
        <w:szCs w:val="18"/>
      </w:rPr>
      <w:drawing>
        <wp:inline distT="0" distB="0" distL="0" distR="0" wp14:anchorId="26C64CE1" wp14:editId="20800B6A">
          <wp:extent cx="942975" cy="81915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F5A7A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ESTADO DO MARANHÃO</w:t>
    </w:r>
  </w:p>
  <w:p w14:paraId="19BEF355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ASSEMBLEIA LEGISLATIVA DO MARANHÃO</w:t>
    </w:r>
  </w:p>
  <w:p w14:paraId="4D89C4D7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INSTALADA EM 16 DE FEVEREIRO DE 1835</w:t>
    </w:r>
  </w:p>
  <w:p w14:paraId="39515874" w14:textId="77777777" w:rsidR="00FF6498" w:rsidRPr="0052305E" w:rsidRDefault="00FF6498" w:rsidP="00FF6498">
    <w:pPr>
      <w:tabs>
        <w:tab w:val="center" w:pos="4252"/>
        <w:tab w:val="right" w:pos="8504"/>
      </w:tabs>
      <w:jc w:val="center"/>
      <w:rPr>
        <w:rFonts w:ascii="Calibri" w:eastAsia="Calibri" w:hAnsi="Calibri"/>
        <w:b/>
      </w:rPr>
    </w:pPr>
    <w:r w:rsidRPr="0052305E">
      <w:rPr>
        <w:rFonts w:ascii="Calibri" w:eastAsia="Calibri" w:hAnsi="Calibri"/>
        <w:b/>
      </w:rPr>
      <w:t>DIRETORIA LEGISLATIVA</w:t>
    </w:r>
  </w:p>
  <w:p w14:paraId="00BB26A6" w14:textId="77777777" w:rsidR="00FF6498" w:rsidRDefault="00FF6498" w:rsidP="00FF6498">
    <w:pPr>
      <w:pStyle w:val="Cabealho"/>
    </w:pPr>
  </w:p>
  <w:p w14:paraId="2E687DFC" w14:textId="77777777" w:rsidR="001E1CA1" w:rsidRDefault="001E1C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60"/>
    <w:rsid w:val="000214BF"/>
    <w:rsid w:val="00032889"/>
    <w:rsid w:val="000C522A"/>
    <w:rsid w:val="000D261B"/>
    <w:rsid w:val="000E017E"/>
    <w:rsid w:val="000E187B"/>
    <w:rsid w:val="00115F3C"/>
    <w:rsid w:val="00137B7F"/>
    <w:rsid w:val="00184544"/>
    <w:rsid w:val="00190573"/>
    <w:rsid w:val="001A2F92"/>
    <w:rsid w:val="001D369A"/>
    <w:rsid w:val="001E1CA1"/>
    <w:rsid w:val="00225241"/>
    <w:rsid w:val="0023032D"/>
    <w:rsid w:val="00257AEA"/>
    <w:rsid w:val="00293ABE"/>
    <w:rsid w:val="002C3B52"/>
    <w:rsid w:val="002C586F"/>
    <w:rsid w:val="002D5B6D"/>
    <w:rsid w:val="00325925"/>
    <w:rsid w:val="003D406A"/>
    <w:rsid w:val="00460C94"/>
    <w:rsid w:val="004708AE"/>
    <w:rsid w:val="00477751"/>
    <w:rsid w:val="004A11CE"/>
    <w:rsid w:val="004B6D43"/>
    <w:rsid w:val="004C0E60"/>
    <w:rsid w:val="004C4364"/>
    <w:rsid w:val="00515FA7"/>
    <w:rsid w:val="00520867"/>
    <w:rsid w:val="00543F18"/>
    <w:rsid w:val="005539C0"/>
    <w:rsid w:val="005C2796"/>
    <w:rsid w:val="00651A3F"/>
    <w:rsid w:val="00695E14"/>
    <w:rsid w:val="006F5923"/>
    <w:rsid w:val="00703365"/>
    <w:rsid w:val="00717F3D"/>
    <w:rsid w:val="007426CC"/>
    <w:rsid w:val="007475C0"/>
    <w:rsid w:val="00760DF0"/>
    <w:rsid w:val="00791794"/>
    <w:rsid w:val="007A2ED0"/>
    <w:rsid w:val="007B6356"/>
    <w:rsid w:val="007C1E54"/>
    <w:rsid w:val="007C56DA"/>
    <w:rsid w:val="007C6423"/>
    <w:rsid w:val="007C7189"/>
    <w:rsid w:val="008024A6"/>
    <w:rsid w:val="0083463B"/>
    <w:rsid w:val="00844767"/>
    <w:rsid w:val="0087756A"/>
    <w:rsid w:val="00905C4D"/>
    <w:rsid w:val="00911132"/>
    <w:rsid w:val="00957094"/>
    <w:rsid w:val="009759D4"/>
    <w:rsid w:val="00993BB0"/>
    <w:rsid w:val="009C161F"/>
    <w:rsid w:val="009C5A4D"/>
    <w:rsid w:val="009C69C4"/>
    <w:rsid w:val="009D46CF"/>
    <w:rsid w:val="009E44ED"/>
    <w:rsid w:val="00A018F2"/>
    <w:rsid w:val="00A02ADD"/>
    <w:rsid w:val="00A16471"/>
    <w:rsid w:val="00A16686"/>
    <w:rsid w:val="00A21007"/>
    <w:rsid w:val="00A21384"/>
    <w:rsid w:val="00AB0E0B"/>
    <w:rsid w:val="00AD3B9F"/>
    <w:rsid w:val="00B102D1"/>
    <w:rsid w:val="00B31B75"/>
    <w:rsid w:val="00B555A8"/>
    <w:rsid w:val="00B67B22"/>
    <w:rsid w:val="00B70A5D"/>
    <w:rsid w:val="00BE5CC3"/>
    <w:rsid w:val="00C30FF7"/>
    <w:rsid w:val="00C36B49"/>
    <w:rsid w:val="00C57F4B"/>
    <w:rsid w:val="00C65289"/>
    <w:rsid w:val="00C7717E"/>
    <w:rsid w:val="00C81933"/>
    <w:rsid w:val="00D239D3"/>
    <w:rsid w:val="00D2444A"/>
    <w:rsid w:val="00D2636E"/>
    <w:rsid w:val="00D6651E"/>
    <w:rsid w:val="00D71A62"/>
    <w:rsid w:val="00DC71F6"/>
    <w:rsid w:val="00DD26CB"/>
    <w:rsid w:val="00DD34FB"/>
    <w:rsid w:val="00DF0D86"/>
    <w:rsid w:val="00E0683B"/>
    <w:rsid w:val="00E3124D"/>
    <w:rsid w:val="00E40CA0"/>
    <w:rsid w:val="00E4517E"/>
    <w:rsid w:val="00E669CB"/>
    <w:rsid w:val="00E73B0E"/>
    <w:rsid w:val="00E91966"/>
    <w:rsid w:val="00F25C7A"/>
    <w:rsid w:val="00F63AB6"/>
    <w:rsid w:val="00F66515"/>
    <w:rsid w:val="00F862A9"/>
    <w:rsid w:val="00F907C9"/>
    <w:rsid w:val="00FA490F"/>
    <w:rsid w:val="00FE57A6"/>
    <w:rsid w:val="00FF5E60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5673B7C"/>
  <w15:chartTrackingRefBased/>
  <w15:docId w15:val="{7E7F885B-C6F6-4413-A862-0AE45AEF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5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E6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64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98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64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64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F6498"/>
    <w:pPr>
      <w:spacing w:line="360" w:lineRule="auto"/>
      <w:ind w:right="18" w:firstLine="1800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F6498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AB0E0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B0E0B"/>
    <w:rPr>
      <w:rFonts w:ascii="Arial (W1)" w:hAnsi="Arial (W1)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B0E0B"/>
    <w:rPr>
      <w:rFonts w:ascii="Arial (W1)" w:eastAsia="Times New Roman" w:hAnsi="Arial (W1)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AB0E0B"/>
    <w:rPr>
      <w:vertAlign w:val="superscript"/>
    </w:rPr>
  </w:style>
  <w:style w:type="paragraph" w:styleId="SemEspaamento">
    <w:name w:val="No Spacing"/>
    <w:uiPriority w:val="1"/>
    <w:qFormat/>
    <w:rsid w:val="00F66515"/>
    <w:pPr>
      <w:spacing w:after="0" w:line="240" w:lineRule="auto"/>
    </w:pPr>
  </w:style>
  <w:style w:type="paragraph" w:customStyle="1" w:styleId="Ementa">
    <w:name w:val="Ementa"/>
    <w:basedOn w:val="Normal"/>
    <w:uiPriority w:val="1"/>
    <w:qFormat/>
    <w:rsid w:val="004C4364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7F3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7F3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17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bruno rodrigues diniz</dc:creator>
  <cp:keywords/>
  <dc:description/>
  <cp:lastModifiedBy>Máneton Antunes de Macedo</cp:lastModifiedBy>
  <cp:revision>2</cp:revision>
  <cp:lastPrinted>2024-10-22T19:43:00Z</cp:lastPrinted>
  <dcterms:created xsi:type="dcterms:W3CDTF">2024-10-22T19:43:00Z</dcterms:created>
  <dcterms:modified xsi:type="dcterms:W3CDTF">2024-10-22T19:43:00Z</dcterms:modified>
</cp:coreProperties>
</file>