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A06E" w14:textId="77777777" w:rsidR="00630FCF" w:rsidRPr="00925CAB" w:rsidRDefault="00630FCF" w:rsidP="00630FCF">
      <w:pPr>
        <w:spacing w:line="360" w:lineRule="auto"/>
        <w:jc w:val="center"/>
        <w:rPr>
          <w:b/>
          <w:sz w:val="24"/>
          <w:szCs w:val="24"/>
          <w:u w:val="single"/>
        </w:rPr>
      </w:pPr>
      <w:bookmarkStart w:id="0" w:name="_Hlk45179889"/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10BA8D08" w14:textId="0DCC0CD7" w:rsidR="00737820" w:rsidRPr="0021669D" w:rsidRDefault="00630FCF" w:rsidP="00630FCF">
      <w:pPr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1669D">
        <w:rPr>
          <w:b/>
          <w:color w:val="000000" w:themeColor="text1"/>
          <w:sz w:val="24"/>
          <w:szCs w:val="24"/>
          <w:u w:val="single"/>
        </w:rPr>
        <w:t>PARECER Nº</w:t>
      </w:r>
      <w:r w:rsidR="0021669D" w:rsidRPr="0021669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AE2A76">
        <w:rPr>
          <w:b/>
          <w:color w:val="000000" w:themeColor="text1"/>
          <w:sz w:val="24"/>
          <w:szCs w:val="24"/>
          <w:u w:val="single"/>
        </w:rPr>
        <w:t xml:space="preserve">008 </w:t>
      </w:r>
      <w:r w:rsidRPr="0021669D">
        <w:rPr>
          <w:b/>
          <w:color w:val="000000" w:themeColor="text1"/>
          <w:sz w:val="24"/>
          <w:szCs w:val="24"/>
          <w:u w:val="single"/>
        </w:rPr>
        <w:t>/202</w:t>
      </w:r>
      <w:r w:rsidR="00AE2A76">
        <w:rPr>
          <w:b/>
          <w:color w:val="000000" w:themeColor="text1"/>
          <w:sz w:val="24"/>
          <w:szCs w:val="24"/>
          <w:u w:val="single"/>
        </w:rPr>
        <w:t>5</w:t>
      </w:r>
    </w:p>
    <w:p w14:paraId="5FC1230D" w14:textId="759092B6" w:rsidR="00142C63" w:rsidRDefault="00142C63" w:rsidP="00142C63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21669D">
        <w:rPr>
          <w:b/>
          <w:color w:val="000000" w:themeColor="text1"/>
          <w:sz w:val="22"/>
          <w:szCs w:val="22"/>
          <w:u w:val="single"/>
        </w:rPr>
        <w:t>RELATÓRIO</w:t>
      </w:r>
      <w:r w:rsidR="00630FCF" w:rsidRPr="0021669D">
        <w:rPr>
          <w:b/>
          <w:color w:val="000000" w:themeColor="text1"/>
          <w:sz w:val="22"/>
          <w:szCs w:val="22"/>
          <w:u w:val="single"/>
        </w:rPr>
        <w:t>:</w:t>
      </w:r>
    </w:p>
    <w:p w14:paraId="0F6A9DF1" w14:textId="3550AD6C" w:rsidR="00142C63" w:rsidRPr="00FD1D57" w:rsidRDefault="00142C63" w:rsidP="00630FCF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iCs/>
          <w:color w:val="000000" w:themeColor="text1"/>
          <w:sz w:val="22"/>
          <w:szCs w:val="22"/>
        </w:rPr>
      </w:pPr>
      <w:r w:rsidRPr="0021669D">
        <w:rPr>
          <w:color w:val="000000" w:themeColor="text1"/>
          <w:sz w:val="22"/>
          <w:szCs w:val="22"/>
        </w:rPr>
        <w:t>Cuida-se da análise de constitucionalidade, juridicidade, legalidade e técnica legislativa</w:t>
      </w:r>
      <w:r w:rsidRPr="0021669D">
        <w:rPr>
          <w:b/>
          <w:iCs/>
          <w:color w:val="000000" w:themeColor="text1"/>
          <w:sz w:val="22"/>
          <w:szCs w:val="22"/>
        </w:rPr>
        <w:t xml:space="preserve"> </w:t>
      </w:r>
      <w:r w:rsidRPr="0021669D">
        <w:rPr>
          <w:bCs/>
          <w:iCs/>
          <w:color w:val="000000" w:themeColor="text1"/>
          <w:sz w:val="22"/>
          <w:szCs w:val="22"/>
        </w:rPr>
        <w:t xml:space="preserve">do </w:t>
      </w:r>
      <w:r w:rsidRPr="0021669D">
        <w:rPr>
          <w:b/>
          <w:iCs/>
          <w:color w:val="000000" w:themeColor="text1"/>
          <w:sz w:val="22"/>
          <w:szCs w:val="22"/>
        </w:rPr>
        <w:t xml:space="preserve">Projeto de Lei nº </w:t>
      </w:r>
      <w:r w:rsidR="007873BA">
        <w:rPr>
          <w:b/>
          <w:iCs/>
          <w:color w:val="000000" w:themeColor="text1"/>
          <w:sz w:val="22"/>
          <w:szCs w:val="22"/>
        </w:rPr>
        <w:t>349</w:t>
      </w:r>
      <w:r w:rsidR="00FD1D57">
        <w:rPr>
          <w:b/>
          <w:iCs/>
          <w:color w:val="000000" w:themeColor="text1"/>
          <w:sz w:val="22"/>
          <w:szCs w:val="22"/>
        </w:rPr>
        <w:t>/2024</w:t>
      </w:r>
      <w:r w:rsidR="0021669D">
        <w:rPr>
          <w:bCs/>
          <w:iCs/>
          <w:color w:val="000000" w:themeColor="text1"/>
          <w:sz w:val="22"/>
          <w:szCs w:val="22"/>
        </w:rPr>
        <w:t>,</w:t>
      </w:r>
      <w:r w:rsidRPr="0021669D">
        <w:rPr>
          <w:bCs/>
          <w:iCs/>
          <w:color w:val="000000" w:themeColor="text1"/>
          <w:sz w:val="22"/>
          <w:szCs w:val="22"/>
        </w:rPr>
        <w:t xml:space="preserve"> de autoria do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 Senhor </w:t>
      </w:r>
      <w:r w:rsidR="004D38A0" w:rsidRPr="0021669D">
        <w:rPr>
          <w:bCs/>
          <w:iCs/>
          <w:color w:val="000000" w:themeColor="text1"/>
          <w:sz w:val="22"/>
          <w:szCs w:val="22"/>
        </w:rPr>
        <w:t xml:space="preserve">Deputado </w:t>
      </w:r>
      <w:r w:rsidR="007873BA">
        <w:rPr>
          <w:bCs/>
          <w:iCs/>
          <w:color w:val="000000" w:themeColor="text1"/>
          <w:sz w:val="22"/>
          <w:szCs w:val="22"/>
        </w:rPr>
        <w:t>Carlos Lula</w:t>
      </w:r>
      <w:r w:rsidR="0021669D">
        <w:rPr>
          <w:bCs/>
          <w:iCs/>
          <w:color w:val="000000" w:themeColor="text1"/>
          <w:sz w:val="22"/>
          <w:szCs w:val="22"/>
        </w:rPr>
        <w:t>,</w:t>
      </w:r>
      <w:r w:rsidRPr="0021669D">
        <w:rPr>
          <w:bCs/>
          <w:iCs/>
          <w:color w:val="000000" w:themeColor="text1"/>
          <w:sz w:val="22"/>
          <w:szCs w:val="22"/>
        </w:rPr>
        <w:t xml:space="preserve"> </w:t>
      </w:r>
      <w:proofErr w:type="gramStart"/>
      <w:r w:rsidRPr="0021669D">
        <w:rPr>
          <w:bCs/>
          <w:iCs/>
          <w:color w:val="000000" w:themeColor="text1"/>
          <w:sz w:val="22"/>
          <w:szCs w:val="22"/>
        </w:rPr>
        <w:t>que</w:t>
      </w:r>
      <w:r w:rsidR="007873BA">
        <w:rPr>
          <w:bCs/>
          <w:iCs/>
          <w:color w:val="000000" w:themeColor="text1"/>
          <w:sz w:val="22"/>
          <w:szCs w:val="22"/>
        </w:rPr>
        <w:t xml:space="preserve"> </w:t>
      </w:r>
      <w:r w:rsidR="007873BA" w:rsidRPr="007873BA">
        <w:rPr>
          <w:bCs/>
          <w:iCs/>
          <w:color w:val="000000" w:themeColor="text1"/>
          <w:sz w:val="22"/>
          <w:szCs w:val="22"/>
        </w:rPr>
        <w:t>Dispõe</w:t>
      </w:r>
      <w:proofErr w:type="gramEnd"/>
      <w:r w:rsidR="007873BA" w:rsidRPr="007873BA">
        <w:rPr>
          <w:bCs/>
          <w:iCs/>
          <w:color w:val="000000" w:themeColor="text1"/>
          <w:sz w:val="22"/>
          <w:szCs w:val="22"/>
        </w:rPr>
        <w:t xml:space="preserve"> sobre a comunicação, à Secretaria de Estado da Saúde do Maranhão, de óbitos de mulheres durante a gravidez, ou a ela relacionados, e dá outras providências</w:t>
      </w:r>
      <w:r w:rsidR="00FD1D57" w:rsidRPr="00FD1D57">
        <w:rPr>
          <w:bCs/>
          <w:iCs/>
          <w:color w:val="000000" w:themeColor="text1"/>
          <w:sz w:val="22"/>
          <w:szCs w:val="22"/>
        </w:rPr>
        <w:t>.</w:t>
      </w:r>
    </w:p>
    <w:p w14:paraId="35A0D785" w14:textId="21A2E9CD" w:rsidR="001C42D6" w:rsidRPr="001C42D6" w:rsidRDefault="00FD1D57" w:rsidP="007873BA">
      <w:pPr>
        <w:spacing w:line="360" w:lineRule="auto"/>
        <w:ind w:firstLine="851"/>
        <w:jc w:val="both"/>
        <w:rPr>
          <w:bCs/>
          <w:iCs/>
          <w:color w:val="000000" w:themeColor="text1"/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</w:rPr>
        <w:t>O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 </w:t>
      </w:r>
      <w:r w:rsidR="0021669D">
        <w:rPr>
          <w:bCs/>
          <w:iCs/>
          <w:color w:val="000000" w:themeColor="text1"/>
          <w:sz w:val="22"/>
          <w:szCs w:val="22"/>
        </w:rPr>
        <w:t>P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rojeto de </w:t>
      </w:r>
      <w:r w:rsidR="0021669D">
        <w:rPr>
          <w:bCs/>
          <w:iCs/>
          <w:color w:val="000000" w:themeColor="text1"/>
          <w:sz w:val="22"/>
          <w:szCs w:val="22"/>
        </w:rPr>
        <w:t>L</w:t>
      </w:r>
      <w:r w:rsidR="00630FCF" w:rsidRPr="0021669D">
        <w:rPr>
          <w:bCs/>
          <w:iCs/>
          <w:color w:val="000000" w:themeColor="text1"/>
          <w:sz w:val="22"/>
          <w:szCs w:val="22"/>
        </w:rPr>
        <w:t xml:space="preserve">ei, </w:t>
      </w:r>
      <w:r>
        <w:rPr>
          <w:bCs/>
          <w:iCs/>
          <w:color w:val="000000" w:themeColor="text1"/>
          <w:sz w:val="22"/>
          <w:szCs w:val="22"/>
        </w:rPr>
        <w:t xml:space="preserve">prevê, em seus termos, que </w:t>
      </w:r>
      <w:r w:rsidR="007873BA">
        <w:rPr>
          <w:bCs/>
          <w:iCs/>
          <w:color w:val="000000" w:themeColor="text1"/>
          <w:sz w:val="22"/>
          <w:szCs w:val="22"/>
        </w:rPr>
        <w:t>o</w:t>
      </w:r>
      <w:r w:rsidR="007873BA" w:rsidRPr="007873BA">
        <w:rPr>
          <w:bCs/>
          <w:iCs/>
          <w:color w:val="000000" w:themeColor="text1"/>
          <w:sz w:val="22"/>
          <w:szCs w:val="22"/>
        </w:rPr>
        <w:t>s profissionais da medicina, hospitais, prontos-socorros, casas de saúde, e demais instituições e estabelecimentos que prestam atendimento médico-hospitalar ficam obrigados a comunicar à Secretaria de Estado de Saúde do Estado do Maranhão - SES os óbitos de mulheres:</w:t>
      </w:r>
      <w:r w:rsidR="007873BA">
        <w:rPr>
          <w:bCs/>
          <w:iCs/>
          <w:color w:val="000000" w:themeColor="text1"/>
          <w:sz w:val="22"/>
          <w:szCs w:val="22"/>
        </w:rPr>
        <w:t xml:space="preserve"> </w:t>
      </w:r>
      <w:r w:rsidR="007873BA" w:rsidRPr="007873BA">
        <w:rPr>
          <w:bCs/>
          <w:iCs/>
          <w:color w:val="000000" w:themeColor="text1"/>
          <w:sz w:val="22"/>
          <w:szCs w:val="22"/>
        </w:rPr>
        <w:t>⁠durante a gravidez;</w:t>
      </w:r>
      <w:r w:rsidR="007873BA">
        <w:rPr>
          <w:bCs/>
          <w:iCs/>
          <w:color w:val="000000" w:themeColor="text1"/>
          <w:sz w:val="22"/>
          <w:szCs w:val="22"/>
        </w:rPr>
        <w:t xml:space="preserve"> </w:t>
      </w:r>
      <w:r w:rsidR="007873BA" w:rsidRPr="007873BA">
        <w:rPr>
          <w:bCs/>
          <w:iCs/>
          <w:color w:val="000000" w:themeColor="text1"/>
          <w:sz w:val="22"/>
          <w:szCs w:val="22"/>
        </w:rPr>
        <w:t>durante o procedimento de parto, ou a ele relacionados; e,</w:t>
      </w:r>
      <w:r w:rsidR="007873BA">
        <w:rPr>
          <w:bCs/>
          <w:iCs/>
          <w:color w:val="000000" w:themeColor="text1"/>
          <w:sz w:val="22"/>
          <w:szCs w:val="22"/>
        </w:rPr>
        <w:t xml:space="preserve"> </w:t>
      </w:r>
      <w:r w:rsidR="007873BA" w:rsidRPr="007873BA">
        <w:rPr>
          <w:bCs/>
          <w:iCs/>
          <w:color w:val="000000" w:themeColor="text1"/>
          <w:sz w:val="22"/>
          <w:szCs w:val="22"/>
        </w:rPr>
        <w:t>ocorridos após a gravidez, mas cuja causa esteja a ela relacionada.</w:t>
      </w:r>
    </w:p>
    <w:p w14:paraId="736A7F2E" w14:textId="56E6F0E2" w:rsidR="007873BA" w:rsidRPr="007873BA" w:rsidRDefault="001C42D6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1C42D6">
        <w:rPr>
          <w:bCs/>
          <w:iCs/>
          <w:color w:val="000000" w:themeColor="text1"/>
          <w:sz w:val="22"/>
          <w:szCs w:val="22"/>
        </w:rPr>
        <w:t xml:space="preserve">Registra a justificativa </w:t>
      </w:r>
      <w:r>
        <w:rPr>
          <w:bCs/>
          <w:iCs/>
          <w:color w:val="000000" w:themeColor="text1"/>
          <w:sz w:val="22"/>
          <w:szCs w:val="22"/>
        </w:rPr>
        <w:t xml:space="preserve">do autor, </w:t>
      </w:r>
      <w:r w:rsidRPr="001C42D6">
        <w:rPr>
          <w:bCs/>
          <w:iCs/>
          <w:color w:val="000000" w:themeColor="text1"/>
          <w:sz w:val="22"/>
          <w:szCs w:val="22"/>
        </w:rPr>
        <w:t xml:space="preserve">que </w:t>
      </w:r>
      <w:r w:rsidR="007873BA" w:rsidRPr="007873BA">
        <w:rPr>
          <w:bCs/>
          <w:i/>
          <w:color w:val="000000" w:themeColor="text1"/>
          <w:sz w:val="22"/>
          <w:szCs w:val="22"/>
        </w:rPr>
        <w:t xml:space="preserve">a mortalidade materna é um grave problema de saúde pública no Brasil e, particularmente, no estado do Maranhão. Este fenômeno refere-se aos óbitos de mulheres durante a gravidez, parto, ou no período pós-parto, devido a complicações relacionadas à gestação ou ao seu manejo. </w:t>
      </w:r>
    </w:p>
    <w:p w14:paraId="579E043E" w14:textId="77777777" w:rsidR="007873BA" w:rsidRP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t>Segundo dados do Ministério da Saúde, a taxa de mortalidade materna no Maranhão em 2021 foi de aproximadamente 90 mortes por 100.000 nascidos vivos. Este número é significativamente superior à média nacional, que gira em torno de 60 mortes por 100.000 nascidos vivos.</w:t>
      </w:r>
    </w:p>
    <w:p w14:paraId="64159F8E" w14:textId="77777777" w:rsidR="007873BA" w:rsidRP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t>As principais causas de mortalidade materna em nosso estado incluem hemorragias, hipertensão gestacional (eclâmpsia e pré-eclâmpsia), infecções pós-parto, e complicações relacionadas ao aborto. Hemorragias e hipertensão são responsáveis por mais de 60% dos casos.</w:t>
      </w:r>
    </w:p>
    <w:p w14:paraId="69D3884E" w14:textId="77777777" w:rsid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t>A dificuldade de acesso a serviços de saúde de qualidade, especialmente em áreas rurais e comunidades remotas, é um fator significativo. Muitas mulheres não recebem cuidados pré-natais adequados ou têm acesso limitado a unidades de saúde para atendimento de emergência obstétrica</w:t>
      </w:r>
      <w:r w:rsidRPr="007873BA">
        <w:rPr>
          <w:bCs/>
          <w:iCs/>
          <w:color w:val="000000" w:themeColor="text1"/>
          <w:sz w:val="22"/>
          <w:szCs w:val="22"/>
        </w:rPr>
        <w:t>.</w:t>
      </w:r>
    </w:p>
    <w:p w14:paraId="7B87F6BC" w14:textId="3BB230F8" w:rsidR="007873BA" w:rsidRP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Cs/>
          <w:color w:val="000000" w:themeColor="text1"/>
          <w:sz w:val="22"/>
          <w:szCs w:val="22"/>
        </w:rPr>
        <w:t xml:space="preserve">Justifica </w:t>
      </w:r>
      <w:r>
        <w:rPr>
          <w:bCs/>
          <w:iCs/>
          <w:color w:val="000000" w:themeColor="text1"/>
          <w:sz w:val="22"/>
          <w:szCs w:val="22"/>
        </w:rPr>
        <w:t xml:space="preserve">ainda </w:t>
      </w:r>
      <w:r w:rsidRPr="007873BA">
        <w:rPr>
          <w:bCs/>
          <w:iCs/>
          <w:color w:val="000000" w:themeColor="text1"/>
          <w:sz w:val="22"/>
          <w:szCs w:val="22"/>
        </w:rPr>
        <w:t xml:space="preserve">o autor </w:t>
      </w:r>
      <w:r>
        <w:rPr>
          <w:bCs/>
          <w:iCs/>
          <w:color w:val="000000" w:themeColor="text1"/>
          <w:sz w:val="22"/>
          <w:szCs w:val="22"/>
        </w:rPr>
        <w:t>da propositura de Lei</w:t>
      </w:r>
      <w:r w:rsidRPr="007873BA">
        <w:rPr>
          <w:bCs/>
          <w:iCs/>
          <w:color w:val="000000" w:themeColor="text1"/>
          <w:sz w:val="22"/>
          <w:szCs w:val="22"/>
        </w:rPr>
        <w:t>, que</w:t>
      </w:r>
      <w:r>
        <w:rPr>
          <w:bCs/>
          <w:iCs/>
          <w:color w:val="000000" w:themeColor="text1"/>
          <w:sz w:val="22"/>
          <w:szCs w:val="22"/>
        </w:rPr>
        <w:t xml:space="preserve"> </w:t>
      </w:r>
      <w:r w:rsidRPr="007873BA">
        <w:rPr>
          <w:bCs/>
          <w:i/>
          <w:color w:val="000000" w:themeColor="text1"/>
          <w:sz w:val="22"/>
          <w:szCs w:val="22"/>
        </w:rPr>
        <w:t>a falta de informação adequada sobre cuidados durante a gravidez e sinais de complicações pode levar a atrasos na busca por ajuda médica. A pobreza, falta de transporte e outras barreiras socioeconômicas também desempenham um papel crucial na elevada mortalidade materna.</w:t>
      </w:r>
    </w:p>
    <w:p w14:paraId="22EC431B" w14:textId="77777777" w:rsidR="007873BA" w:rsidRDefault="007873BA" w:rsidP="007873BA">
      <w:pPr>
        <w:spacing w:line="360" w:lineRule="auto"/>
        <w:ind w:firstLine="851"/>
        <w:jc w:val="both"/>
        <w:rPr>
          <w:bCs/>
          <w:iCs/>
          <w:color w:val="000000" w:themeColor="text1"/>
          <w:sz w:val="22"/>
          <w:szCs w:val="22"/>
        </w:rPr>
      </w:pPr>
    </w:p>
    <w:p w14:paraId="6FEE8AC1" w14:textId="77777777" w:rsidR="007873BA" w:rsidRDefault="007873BA" w:rsidP="007873BA">
      <w:pPr>
        <w:spacing w:line="360" w:lineRule="auto"/>
        <w:ind w:firstLine="851"/>
        <w:jc w:val="both"/>
        <w:rPr>
          <w:bCs/>
          <w:iCs/>
          <w:color w:val="000000" w:themeColor="text1"/>
          <w:sz w:val="22"/>
          <w:szCs w:val="22"/>
        </w:rPr>
      </w:pPr>
    </w:p>
    <w:p w14:paraId="2A1173B9" w14:textId="5CD7202C" w:rsidR="007873BA" w:rsidRP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lastRenderedPageBreak/>
        <w:t>O monitoramento contínuo das mortes maternas através do Sistema de Informação sobre Mortalidade (SIM) e outras ferramentas tem ajudado a identificar áreas críticas e a direcionar recursos e esforços onde são mais necessários, contudo, ainda há a subnotificação, infelizmente.</w:t>
      </w:r>
    </w:p>
    <w:p w14:paraId="7A91498F" w14:textId="77777777" w:rsidR="007873BA" w:rsidRPr="007873BA" w:rsidRDefault="007873BA" w:rsidP="007873BA">
      <w:pPr>
        <w:spacing w:line="360" w:lineRule="auto"/>
        <w:ind w:firstLine="851"/>
        <w:jc w:val="both"/>
        <w:rPr>
          <w:bCs/>
          <w:i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t>A partir dessa investigação médica pode a Secretaria de Estado da Saúde, obter elementos, dados que ocasionaram a morte, tais como fatores de hereditariedade, mal acompanhamento da gestante, desnutrição, hemorragia aliados a outros fatores que ainda a medicina não se encontra devidamente informada.</w:t>
      </w:r>
    </w:p>
    <w:p w14:paraId="36CAD477" w14:textId="610AB23E" w:rsidR="001C42D6" w:rsidRPr="001C42D6" w:rsidRDefault="007873BA" w:rsidP="007873BA">
      <w:pPr>
        <w:spacing w:line="360" w:lineRule="auto"/>
        <w:ind w:firstLine="851"/>
        <w:jc w:val="both"/>
        <w:rPr>
          <w:bCs/>
          <w:iCs/>
          <w:color w:val="000000" w:themeColor="text1"/>
          <w:sz w:val="22"/>
          <w:szCs w:val="22"/>
        </w:rPr>
      </w:pPr>
      <w:r w:rsidRPr="007873BA">
        <w:rPr>
          <w:bCs/>
          <w:i/>
          <w:color w:val="000000" w:themeColor="text1"/>
          <w:sz w:val="22"/>
          <w:szCs w:val="22"/>
        </w:rPr>
        <w:t>A partir dos dados dos elementos colhidos com a investigação médica, pode o Poder Público através de seus órgãos competentes, em especial a Secretaria de Estado da Saúde, elaborar um plano de ação, objetivando a medicina preventiva, com assistência e orientação à gestante e parturiente</w:t>
      </w:r>
      <w:r>
        <w:rPr>
          <w:bCs/>
          <w:i/>
          <w:color w:val="000000" w:themeColor="text1"/>
          <w:sz w:val="22"/>
          <w:szCs w:val="22"/>
        </w:rPr>
        <w:t xml:space="preserve">. </w:t>
      </w:r>
      <w:r w:rsidR="001C42D6">
        <w:rPr>
          <w:bCs/>
          <w:i/>
          <w:color w:val="000000" w:themeColor="text1"/>
          <w:sz w:val="22"/>
          <w:szCs w:val="22"/>
        </w:rPr>
        <w:t xml:space="preserve"> </w:t>
      </w:r>
      <w:r w:rsidR="001C42D6">
        <w:rPr>
          <w:bCs/>
          <w:iCs/>
          <w:color w:val="000000" w:themeColor="text1"/>
          <w:sz w:val="22"/>
          <w:szCs w:val="22"/>
        </w:rPr>
        <w:t>Essa justificativa por si só atende a pertinência da matéria.</w:t>
      </w:r>
    </w:p>
    <w:p w14:paraId="6860C925" w14:textId="77777777" w:rsidR="00142C63" w:rsidRPr="0021669D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5219BC">
        <w:rPr>
          <w:bCs/>
          <w:sz w:val="22"/>
          <w:szCs w:val="22"/>
        </w:rPr>
        <w:t>Como mencionado acima, analisar-se-á neste parecer a constitucionalidade, a</w:t>
      </w:r>
      <w:r w:rsidRPr="0021669D">
        <w:rPr>
          <w:sz w:val="22"/>
          <w:szCs w:val="22"/>
        </w:rPr>
        <w:t xml:space="preserve"> juridicidade e a legalidade projeto de lei apresentado, nos âmbitos formal e material. </w:t>
      </w:r>
    </w:p>
    <w:p w14:paraId="64118062" w14:textId="77777777" w:rsidR="00142C63" w:rsidRPr="0021669D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b/>
          <w:sz w:val="22"/>
          <w:szCs w:val="22"/>
        </w:rPr>
        <w:t>O processo legislativo brasileiro</w:t>
      </w:r>
      <w:r w:rsidRPr="0021669D">
        <w:rPr>
          <w:sz w:val="22"/>
          <w:szCs w:val="22"/>
        </w:rPr>
        <w:t xml:space="preserve">, nas três esferas da Federação, </w:t>
      </w:r>
      <w:r w:rsidRPr="0021669D">
        <w:rPr>
          <w:b/>
          <w:sz w:val="22"/>
          <w:szCs w:val="22"/>
        </w:rPr>
        <w:t>deve obedecer a procedimentos pré-estabelecidos</w:t>
      </w:r>
      <w:r w:rsidRPr="0021669D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21669D">
        <w:rPr>
          <w:sz w:val="22"/>
          <w:szCs w:val="22"/>
        </w:rPr>
        <w:t>arts</w:t>
      </w:r>
      <w:proofErr w:type="spellEnd"/>
      <w:r w:rsidRPr="0021669D">
        <w:rPr>
          <w:sz w:val="22"/>
          <w:szCs w:val="22"/>
        </w:rPr>
        <w:t>. 40 a 49) os procedimentos do processo legislativo no âmbito estadual.</w:t>
      </w:r>
    </w:p>
    <w:p w14:paraId="0E7717AE" w14:textId="77777777" w:rsidR="00142C63" w:rsidRDefault="00142C63" w:rsidP="0021669D">
      <w:pPr>
        <w:spacing w:line="360" w:lineRule="auto"/>
        <w:ind w:firstLine="851"/>
        <w:jc w:val="both"/>
        <w:rPr>
          <w:sz w:val="22"/>
          <w:szCs w:val="22"/>
        </w:rPr>
      </w:pPr>
      <w:r w:rsidRPr="0021669D">
        <w:rPr>
          <w:sz w:val="22"/>
          <w:szCs w:val="22"/>
        </w:rPr>
        <w:t xml:space="preserve">O primeiro ponto de análise é a </w:t>
      </w:r>
      <w:r w:rsidRPr="0021669D">
        <w:rPr>
          <w:b/>
          <w:sz w:val="22"/>
          <w:szCs w:val="22"/>
        </w:rPr>
        <w:t>iniciativa da proposição</w:t>
      </w:r>
      <w:r w:rsidRPr="0021669D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09D42D28" w14:textId="628912E4" w:rsidR="00A441A7" w:rsidRPr="00A441A7" w:rsidRDefault="00A441A7" w:rsidP="00A441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A proposição em análise dispõe em sua essência sobre a </w:t>
      </w:r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proteção à saúde, matéria de competência comum e concorrente dos entes da federação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, nos termos dos </w:t>
      </w:r>
      <w:proofErr w:type="spellStart"/>
      <w:r w:rsidRPr="00A441A7">
        <w:rPr>
          <w:rFonts w:eastAsia="Calibri"/>
          <w:color w:val="000000"/>
          <w:sz w:val="22"/>
          <w:szCs w:val="22"/>
          <w:lang w:eastAsia="en-US"/>
        </w:rPr>
        <w:t>arts</w:t>
      </w:r>
      <w:proofErr w:type="spellEnd"/>
      <w:r w:rsidRPr="00A441A7">
        <w:rPr>
          <w:rFonts w:eastAsia="Calibri"/>
          <w:color w:val="000000"/>
          <w:sz w:val="22"/>
          <w:szCs w:val="22"/>
          <w:lang w:eastAsia="en-US"/>
        </w:rPr>
        <w:t>. 23, II e 24, XII, da CF/88:</w:t>
      </w:r>
    </w:p>
    <w:p w14:paraId="2BD4FAD3" w14:textId="77777777"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b/>
          <w:color w:val="000000"/>
          <w:sz w:val="22"/>
          <w:szCs w:val="22"/>
          <w:lang w:eastAsia="en-US"/>
        </w:rPr>
        <w:t>Art. 23.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É </w:t>
      </w:r>
      <w:r w:rsidRPr="00A441A7">
        <w:rPr>
          <w:rFonts w:eastAsia="Calibri"/>
          <w:color w:val="000000"/>
          <w:sz w:val="22"/>
          <w:szCs w:val="22"/>
          <w:u w:val="single"/>
          <w:lang w:eastAsia="en-US"/>
        </w:rPr>
        <w:t>competência comum da União, dos Estados, do Distrito Federal e dos Municípios</w:t>
      </w:r>
      <w:r w:rsidRPr="00A441A7">
        <w:rPr>
          <w:rFonts w:eastAsia="Calibri"/>
          <w:color w:val="000000"/>
          <w:sz w:val="22"/>
          <w:szCs w:val="22"/>
          <w:lang w:eastAsia="en-US"/>
        </w:rPr>
        <w:t>:[...]</w:t>
      </w:r>
    </w:p>
    <w:p w14:paraId="24A73956" w14:textId="77777777"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II - </w:t>
      </w:r>
      <w:proofErr w:type="gramStart"/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cuidar</w:t>
      </w:r>
      <w:proofErr w:type="gramEnd"/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 xml:space="preserve"> da saúde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e assistência pública, da proteção e garantia das pessoas portadoras de deficiência; [...]</w:t>
      </w:r>
    </w:p>
    <w:p w14:paraId="3E4F5310" w14:textId="77777777" w:rsidR="00A441A7" w:rsidRPr="00A441A7" w:rsidRDefault="00A441A7" w:rsidP="00A441A7">
      <w:pPr>
        <w:spacing w:line="360" w:lineRule="auto"/>
        <w:ind w:left="2268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b/>
          <w:color w:val="000000"/>
          <w:sz w:val="22"/>
          <w:szCs w:val="22"/>
          <w:lang w:eastAsia="en-US"/>
        </w:rPr>
        <w:t>Art. 24.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Compete à União, aos Estados e ao Distrito Federal </w:t>
      </w:r>
      <w:r w:rsidRPr="00A441A7">
        <w:rPr>
          <w:rFonts w:eastAsia="Calibri"/>
          <w:color w:val="000000"/>
          <w:sz w:val="22"/>
          <w:szCs w:val="22"/>
          <w:u w:val="single"/>
          <w:lang w:eastAsia="en-US"/>
        </w:rPr>
        <w:t>legislar concorrentemente</w:t>
      </w: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 sobre: [...]</w:t>
      </w:r>
    </w:p>
    <w:p w14:paraId="043256D8" w14:textId="77777777" w:rsidR="00A441A7" w:rsidRPr="00A441A7" w:rsidRDefault="00A441A7" w:rsidP="00A441A7">
      <w:pPr>
        <w:spacing w:line="360" w:lineRule="auto"/>
        <w:ind w:left="2268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color w:val="000000"/>
          <w:sz w:val="22"/>
          <w:szCs w:val="22"/>
          <w:lang w:eastAsia="en-US"/>
        </w:rPr>
        <w:t xml:space="preserve">XII – previdência social, </w:t>
      </w:r>
      <w:r w:rsidRPr="00A441A7">
        <w:rPr>
          <w:rFonts w:eastAsia="Calibri"/>
          <w:b/>
          <w:color w:val="000000"/>
          <w:sz w:val="22"/>
          <w:szCs w:val="22"/>
          <w:u w:val="single"/>
          <w:lang w:eastAsia="en-US"/>
        </w:rPr>
        <w:t>proteção e defesa da saúde</w:t>
      </w:r>
      <w:r w:rsidRPr="00A441A7">
        <w:rPr>
          <w:rFonts w:eastAsia="Calibri"/>
          <w:color w:val="000000"/>
          <w:sz w:val="22"/>
          <w:szCs w:val="22"/>
          <w:lang w:eastAsia="en-US"/>
        </w:rPr>
        <w:t>; [...]</w:t>
      </w:r>
    </w:p>
    <w:p w14:paraId="1A3A61A1" w14:textId="77777777" w:rsidR="00A441A7" w:rsidRPr="00A441A7" w:rsidRDefault="00A441A7" w:rsidP="00A441A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297FD14" w14:textId="77777777" w:rsidR="007873BA" w:rsidRDefault="007873BA" w:rsidP="00A441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4CC02A11" w14:textId="66DA9485" w:rsidR="00A441A7" w:rsidRPr="00A441A7" w:rsidRDefault="00A441A7" w:rsidP="00A441A7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lastRenderedPageBreak/>
        <w:t xml:space="preserve">Ademais, são de relevância pública as </w:t>
      </w:r>
      <w:r w:rsidRPr="00A441A7">
        <w:rPr>
          <w:rFonts w:eastAsia="Calibri"/>
          <w:b/>
          <w:sz w:val="22"/>
          <w:szCs w:val="22"/>
          <w:lang w:eastAsia="en-US"/>
        </w:rPr>
        <w:t>ações e serviços de saúde</w:t>
      </w:r>
      <w:r w:rsidRPr="00A441A7">
        <w:rPr>
          <w:rFonts w:eastAsia="Calibri"/>
          <w:sz w:val="22"/>
          <w:szCs w:val="22"/>
          <w:lang w:eastAsia="en-US"/>
        </w:rPr>
        <w:t xml:space="preserve">, cabendo ao Poder Público dispor, nos termos da </w:t>
      </w:r>
      <w:r w:rsidR="007873BA">
        <w:rPr>
          <w:rFonts w:eastAsia="Calibri"/>
          <w:sz w:val="22"/>
          <w:szCs w:val="22"/>
          <w:lang w:eastAsia="en-US"/>
        </w:rPr>
        <w:t>L</w:t>
      </w:r>
      <w:r w:rsidRPr="00A441A7">
        <w:rPr>
          <w:rFonts w:eastAsia="Calibri"/>
          <w:sz w:val="22"/>
          <w:szCs w:val="22"/>
          <w:lang w:eastAsia="en-US"/>
        </w:rPr>
        <w:t xml:space="preserve">ei, sobre sua regulamentação, fiscalização e controle, devendo sua execução ser feita diretamente ou através de terceiros e, também, por pessoa física ou jurídica de direito privado, a teor do que dispõe o art. 197, </w:t>
      </w:r>
      <w:r w:rsidRPr="00A441A7">
        <w:rPr>
          <w:rFonts w:eastAsia="Calibri"/>
          <w:color w:val="000000"/>
          <w:sz w:val="22"/>
          <w:szCs w:val="22"/>
          <w:lang w:eastAsia="en-US"/>
        </w:rPr>
        <w:t>da CF/88.</w:t>
      </w:r>
    </w:p>
    <w:p w14:paraId="031A9A15" w14:textId="77777777" w:rsidR="00A441A7" w:rsidRPr="00A441A7" w:rsidRDefault="00A441A7" w:rsidP="00A441A7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t>No caso em tela, a proteção e a defesa da saúde, é de alta relevância no contexto social, devendo, pois, prevalecer em detrimento de outras normas, haja vista, o princípio da máxima aplicabilidade dos direitos fundamentais, não cabendo restrições.</w:t>
      </w:r>
    </w:p>
    <w:p w14:paraId="2E95CB2E" w14:textId="77777777" w:rsidR="00A441A7" w:rsidRPr="00A441A7" w:rsidRDefault="00A441A7" w:rsidP="00A441A7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A441A7">
        <w:rPr>
          <w:rFonts w:eastAsia="Calibri"/>
          <w:sz w:val="22"/>
          <w:szCs w:val="22"/>
          <w:lang w:eastAsia="en-US"/>
        </w:rPr>
        <w:t>Desta forma, quanto à competência para legislar sobre o assunto, a proposição se apresenta conforme à Constituição.</w:t>
      </w:r>
    </w:p>
    <w:p w14:paraId="66F830AD" w14:textId="77777777" w:rsidR="001C42D6" w:rsidRDefault="001C42D6" w:rsidP="00630FCF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375423C" w14:textId="765CF38C" w:rsidR="00630FCF" w:rsidRPr="0021669D" w:rsidRDefault="00630FCF" w:rsidP="00630F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669D">
        <w:rPr>
          <w:b/>
          <w:sz w:val="22"/>
          <w:szCs w:val="22"/>
          <w:u w:val="single"/>
        </w:rPr>
        <w:t>VOTO DO RELATOR:</w:t>
      </w:r>
    </w:p>
    <w:p w14:paraId="647AB430" w14:textId="4CAE2029" w:rsidR="00142C63" w:rsidRPr="0021669D" w:rsidRDefault="00142C63" w:rsidP="0021669D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21669D">
        <w:rPr>
          <w:color w:val="000000" w:themeColor="text1"/>
          <w:sz w:val="22"/>
          <w:szCs w:val="22"/>
        </w:rPr>
        <w:t xml:space="preserve">Diante do exposto, somos pela </w:t>
      </w:r>
      <w:r w:rsidR="00A441A7">
        <w:rPr>
          <w:b/>
          <w:bCs/>
          <w:color w:val="000000" w:themeColor="text1"/>
          <w:sz w:val="22"/>
          <w:szCs w:val="22"/>
        </w:rPr>
        <w:t>APROVAÇÃO</w:t>
      </w:r>
      <w:r w:rsidRPr="0021669D">
        <w:rPr>
          <w:color w:val="000000" w:themeColor="text1"/>
          <w:sz w:val="22"/>
          <w:szCs w:val="22"/>
        </w:rPr>
        <w:t xml:space="preserve"> </w:t>
      </w:r>
      <w:r w:rsidRPr="0021669D">
        <w:rPr>
          <w:b/>
          <w:bCs/>
          <w:color w:val="000000" w:themeColor="text1"/>
          <w:sz w:val="22"/>
          <w:szCs w:val="22"/>
        </w:rPr>
        <w:t xml:space="preserve">do Projeto de Lei nº </w:t>
      </w:r>
      <w:r w:rsidR="007873BA">
        <w:rPr>
          <w:b/>
          <w:bCs/>
          <w:color w:val="000000" w:themeColor="text1"/>
          <w:sz w:val="22"/>
          <w:szCs w:val="22"/>
        </w:rPr>
        <w:t>349</w:t>
      </w:r>
      <w:r w:rsidR="001C42D6">
        <w:rPr>
          <w:b/>
          <w:bCs/>
          <w:color w:val="000000" w:themeColor="text1"/>
          <w:sz w:val="22"/>
          <w:szCs w:val="22"/>
        </w:rPr>
        <w:t>/2024</w:t>
      </w:r>
      <w:r w:rsidRPr="0021669D">
        <w:rPr>
          <w:b/>
          <w:bCs/>
          <w:color w:val="000000" w:themeColor="text1"/>
          <w:sz w:val="22"/>
          <w:szCs w:val="22"/>
        </w:rPr>
        <w:t>,</w:t>
      </w:r>
      <w:r w:rsidRPr="0021669D">
        <w:rPr>
          <w:color w:val="000000" w:themeColor="text1"/>
          <w:sz w:val="22"/>
          <w:szCs w:val="22"/>
        </w:rPr>
        <w:t xml:space="preserve"> </w:t>
      </w:r>
      <w:r w:rsidR="00A441A7">
        <w:rPr>
          <w:color w:val="000000" w:themeColor="text1"/>
          <w:sz w:val="22"/>
          <w:szCs w:val="22"/>
        </w:rPr>
        <w:t>em face da sua constitucionalidade, legalidade e juridicidade.</w:t>
      </w:r>
    </w:p>
    <w:p w14:paraId="525F7EB6" w14:textId="77777777" w:rsidR="00142C63" w:rsidRPr="0021669D" w:rsidRDefault="00142C63" w:rsidP="0021669D">
      <w:pPr>
        <w:spacing w:line="360" w:lineRule="auto"/>
        <w:ind w:firstLine="851"/>
        <w:rPr>
          <w:sz w:val="22"/>
          <w:szCs w:val="22"/>
        </w:rPr>
      </w:pPr>
      <w:r w:rsidRPr="0021669D">
        <w:rPr>
          <w:sz w:val="22"/>
          <w:szCs w:val="22"/>
        </w:rPr>
        <w:t xml:space="preserve">É o </w:t>
      </w:r>
      <w:r w:rsidR="00630FCF" w:rsidRPr="0021669D">
        <w:rPr>
          <w:sz w:val="22"/>
          <w:szCs w:val="22"/>
        </w:rPr>
        <w:t>voto</w:t>
      </w:r>
    </w:p>
    <w:bookmarkEnd w:id="0"/>
    <w:p w14:paraId="1D8C8C19" w14:textId="31C07735" w:rsidR="00630FCF" w:rsidRPr="0021669D" w:rsidRDefault="00630FCF" w:rsidP="00630FC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1669D">
        <w:rPr>
          <w:b/>
          <w:sz w:val="22"/>
          <w:szCs w:val="22"/>
          <w:u w:val="single"/>
        </w:rPr>
        <w:t>PARECER DA COMISSÃO:</w:t>
      </w:r>
    </w:p>
    <w:p w14:paraId="33E769C2" w14:textId="09692378" w:rsidR="00630FCF" w:rsidRPr="0021669D" w:rsidRDefault="00630FCF" w:rsidP="00630FCF">
      <w:pPr>
        <w:spacing w:line="360" w:lineRule="auto"/>
        <w:jc w:val="both"/>
        <w:rPr>
          <w:rFonts w:eastAsia="Batang"/>
          <w:sz w:val="22"/>
          <w:szCs w:val="22"/>
        </w:rPr>
      </w:pPr>
      <w:r w:rsidRPr="0021669D">
        <w:rPr>
          <w:rFonts w:eastAsia="Calibri"/>
          <w:sz w:val="22"/>
          <w:szCs w:val="22"/>
        </w:rPr>
        <w:t xml:space="preserve">                 Os membros da Comissão de Constituição, Justiça e Cidadania </w:t>
      </w:r>
      <w:r w:rsidRPr="0021669D">
        <w:rPr>
          <w:rFonts w:eastAsia="Batang"/>
          <w:bCs/>
          <w:kern w:val="32"/>
          <w:sz w:val="22"/>
          <w:szCs w:val="22"/>
        </w:rPr>
        <w:t xml:space="preserve">votam pela </w:t>
      </w:r>
      <w:r w:rsidR="00A441A7">
        <w:rPr>
          <w:rFonts w:eastAsia="Calibri"/>
          <w:b/>
          <w:sz w:val="22"/>
          <w:szCs w:val="22"/>
        </w:rPr>
        <w:t>APROVAÇÃO</w:t>
      </w:r>
      <w:r w:rsidRPr="0021669D">
        <w:rPr>
          <w:rFonts w:eastAsia="Calibri"/>
          <w:b/>
          <w:sz w:val="22"/>
          <w:szCs w:val="22"/>
        </w:rPr>
        <w:t xml:space="preserve"> </w:t>
      </w:r>
      <w:r w:rsidRPr="0021669D">
        <w:rPr>
          <w:b/>
          <w:sz w:val="22"/>
          <w:szCs w:val="22"/>
        </w:rPr>
        <w:t xml:space="preserve">do Projeto de Lei nº </w:t>
      </w:r>
      <w:r w:rsidR="007873BA">
        <w:rPr>
          <w:b/>
          <w:color w:val="000000" w:themeColor="text1"/>
          <w:sz w:val="22"/>
          <w:szCs w:val="22"/>
        </w:rPr>
        <w:t>349</w:t>
      </w:r>
      <w:r w:rsidR="001C42D6">
        <w:rPr>
          <w:b/>
          <w:color w:val="000000" w:themeColor="text1"/>
          <w:sz w:val="22"/>
          <w:szCs w:val="22"/>
        </w:rPr>
        <w:t>/2024</w:t>
      </w:r>
      <w:r w:rsidRPr="0021669D">
        <w:rPr>
          <w:color w:val="000000" w:themeColor="text1"/>
          <w:sz w:val="22"/>
          <w:szCs w:val="22"/>
        </w:rPr>
        <w:t xml:space="preserve">, nos termos </w:t>
      </w:r>
      <w:r w:rsidRPr="0021669D">
        <w:rPr>
          <w:sz w:val="22"/>
          <w:szCs w:val="22"/>
        </w:rPr>
        <w:t>do voto do Relator.</w:t>
      </w:r>
    </w:p>
    <w:p w14:paraId="4FD106AD" w14:textId="77777777" w:rsidR="00630FCF" w:rsidRPr="0021669D" w:rsidRDefault="00630FCF" w:rsidP="00630FCF">
      <w:pPr>
        <w:spacing w:line="360" w:lineRule="auto"/>
        <w:ind w:firstLine="993"/>
        <w:jc w:val="both"/>
        <w:rPr>
          <w:sz w:val="22"/>
          <w:szCs w:val="22"/>
        </w:rPr>
      </w:pPr>
      <w:r w:rsidRPr="0021669D">
        <w:rPr>
          <w:sz w:val="22"/>
          <w:szCs w:val="22"/>
        </w:rPr>
        <w:t>É o parecer.</w:t>
      </w:r>
    </w:p>
    <w:p w14:paraId="1ADDF875" w14:textId="2312CA17" w:rsidR="00297DBE" w:rsidRPr="00297DBE" w:rsidRDefault="00630FCF" w:rsidP="00297DBE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21669D">
        <w:rPr>
          <w:rFonts w:eastAsia="Calibri"/>
          <w:sz w:val="22"/>
          <w:szCs w:val="22"/>
        </w:rPr>
        <w:t xml:space="preserve">   </w:t>
      </w:r>
      <w:r w:rsidR="00AE2A76" w:rsidRPr="00AE2A76">
        <w:rPr>
          <w:rFonts w:eastAsia="Calibri"/>
          <w:sz w:val="22"/>
          <w:szCs w:val="22"/>
        </w:rPr>
        <w:t xml:space="preserve">SALA DAS COMISSÕES “DEPUTADO LÉO FRANKLIM”, em 11 de fevereiro de 2025.  </w:t>
      </w:r>
    </w:p>
    <w:p w14:paraId="509152A1" w14:textId="77777777" w:rsidR="00297DBE" w:rsidRPr="00297DBE" w:rsidRDefault="00297DBE" w:rsidP="00297DBE">
      <w:pPr>
        <w:ind w:firstLine="851"/>
        <w:jc w:val="both"/>
        <w:rPr>
          <w:rFonts w:eastAsia="Calibri"/>
          <w:sz w:val="24"/>
          <w:szCs w:val="24"/>
        </w:rPr>
      </w:pPr>
      <w:r w:rsidRPr="00297DBE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</w:p>
    <w:p w14:paraId="2F2FF105" w14:textId="77777777" w:rsidR="00B07B08" w:rsidRPr="00B07B08" w:rsidRDefault="00297DBE" w:rsidP="00B07B08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 w:rsidRPr="00297DBE">
        <w:rPr>
          <w:rFonts w:eastAsia="Calibri"/>
          <w:sz w:val="24"/>
          <w:szCs w:val="24"/>
        </w:rPr>
        <w:t xml:space="preserve">                                                                 </w:t>
      </w:r>
      <w:r w:rsidR="00B07B08" w:rsidRPr="00B07B08">
        <w:rPr>
          <w:rFonts w:eastAsia="Calibri"/>
          <w:b/>
          <w:color w:val="000000"/>
          <w:sz w:val="24"/>
          <w:szCs w:val="24"/>
        </w:rPr>
        <w:t>Presidente:</w:t>
      </w:r>
      <w:r w:rsidR="00B07B08" w:rsidRPr="00B07B08">
        <w:rPr>
          <w:rFonts w:eastAsia="Calibri"/>
          <w:bCs/>
          <w:color w:val="000000"/>
          <w:sz w:val="24"/>
          <w:szCs w:val="24"/>
        </w:rPr>
        <w:t xml:space="preserve"> Deputado Florêncio Neto</w:t>
      </w:r>
    </w:p>
    <w:p w14:paraId="5D3E0F6D" w14:textId="0C56A465" w:rsidR="00B07B08" w:rsidRPr="00B07B08" w:rsidRDefault="00B07B08" w:rsidP="00B07B0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eastAsia="Calibri"/>
          <w:color w:val="000000"/>
          <w:sz w:val="24"/>
          <w:szCs w:val="24"/>
        </w:rPr>
        <w:t xml:space="preserve">     </w:t>
      </w:r>
      <w:r w:rsidRPr="00B07B08">
        <w:rPr>
          <w:rFonts w:eastAsia="Calibri"/>
          <w:color w:val="000000"/>
          <w:sz w:val="24"/>
          <w:szCs w:val="24"/>
        </w:rPr>
        <w:t xml:space="preserve"> </w:t>
      </w:r>
      <w:r w:rsidRPr="00B07B08">
        <w:rPr>
          <w:rFonts w:eastAsia="Calibri"/>
          <w:b/>
          <w:color w:val="000000"/>
          <w:sz w:val="24"/>
          <w:szCs w:val="24"/>
        </w:rPr>
        <w:t>Relator</w:t>
      </w:r>
      <w:r w:rsidRPr="00B07B08">
        <w:rPr>
          <w:rFonts w:eastAsia="Calibri"/>
          <w:color w:val="000000"/>
          <w:sz w:val="24"/>
          <w:szCs w:val="24"/>
        </w:rPr>
        <w:t xml:space="preserve">: Deputado </w:t>
      </w:r>
      <w:r>
        <w:rPr>
          <w:rFonts w:eastAsia="Calibri"/>
          <w:color w:val="000000"/>
          <w:sz w:val="24"/>
          <w:szCs w:val="24"/>
        </w:rPr>
        <w:t>Ricardo Arruda</w:t>
      </w:r>
    </w:p>
    <w:p w14:paraId="30E2B4CC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 xml:space="preserve">                                                            </w:t>
      </w:r>
    </w:p>
    <w:p w14:paraId="043EB4AE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07B08">
        <w:rPr>
          <w:rFonts w:eastAsia="Calibri"/>
          <w:b/>
          <w:color w:val="000000"/>
          <w:sz w:val="24"/>
          <w:szCs w:val="24"/>
        </w:rPr>
        <w:t>Vota a favor:                                                            Vota contra:</w:t>
      </w:r>
    </w:p>
    <w:p w14:paraId="74A61E05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 xml:space="preserve">Deputado Fernando </w:t>
      </w:r>
      <w:proofErr w:type="spellStart"/>
      <w:r w:rsidRPr="00B07B08">
        <w:rPr>
          <w:rFonts w:eastAsia="Calibri"/>
          <w:color w:val="000000"/>
          <w:sz w:val="24"/>
          <w:szCs w:val="24"/>
        </w:rPr>
        <w:t>Braide</w:t>
      </w:r>
      <w:proofErr w:type="spellEnd"/>
      <w:r w:rsidRPr="00B07B08">
        <w:rPr>
          <w:rFonts w:eastAsia="Calibri"/>
          <w:color w:val="000000"/>
          <w:sz w:val="24"/>
          <w:szCs w:val="24"/>
        </w:rPr>
        <w:t xml:space="preserve">                                        _________________________</w:t>
      </w:r>
    </w:p>
    <w:p w14:paraId="23DAA978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>Deputado Arnaldo Melo                                            _________________________</w:t>
      </w:r>
    </w:p>
    <w:p w14:paraId="16A4199E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>Deputado Ariston                                                      _________________________</w:t>
      </w:r>
    </w:p>
    <w:p w14:paraId="30777EA4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07B08">
        <w:rPr>
          <w:rFonts w:eastAsia="Calibri"/>
          <w:color w:val="000000"/>
          <w:sz w:val="24"/>
          <w:szCs w:val="24"/>
        </w:rPr>
        <w:t>Deputado Neto Evangelista                                       _________________________</w:t>
      </w:r>
    </w:p>
    <w:p w14:paraId="4DF4DEF5" w14:textId="77777777" w:rsidR="00B07B08" w:rsidRPr="00B07B08" w:rsidRDefault="00B07B08" w:rsidP="00B07B0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  <w:r w:rsidRPr="00B07B08">
        <w:rPr>
          <w:rFonts w:eastAsia="Calibri"/>
          <w:sz w:val="22"/>
          <w:szCs w:val="22"/>
        </w:rPr>
        <w:t>Deputado João Batista Segundo                                        ___________________________</w:t>
      </w:r>
    </w:p>
    <w:p w14:paraId="1CE015E8" w14:textId="461A30D9" w:rsidR="00F46260" w:rsidRPr="00D312FA" w:rsidRDefault="00F46260" w:rsidP="00B07B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F46260" w:rsidRPr="00D312FA" w:rsidSect="00630FCF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A949" w14:textId="77777777" w:rsidR="00DD746A" w:rsidRDefault="00DD746A">
      <w:r>
        <w:separator/>
      </w:r>
    </w:p>
  </w:endnote>
  <w:endnote w:type="continuationSeparator" w:id="0">
    <w:p w14:paraId="535050F1" w14:textId="77777777" w:rsidR="00DD746A" w:rsidRDefault="00DD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F662" w14:textId="77777777" w:rsidR="00DD746A" w:rsidRDefault="00DD746A">
      <w:r>
        <w:separator/>
      </w:r>
    </w:p>
  </w:footnote>
  <w:footnote w:type="continuationSeparator" w:id="0">
    <w:p w14:paraId="5EFFC298" w14:textId="77777777" w:rsidR="00DD746A" w:rsidRDefault="00DD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401D" w14:textId="77777777" w:rsidR="005219BC" w:rsidRDefault="005219BC">
    <w:pPr>
      <w:pStyle w:val="Cabealho"/>
    </w:pPr>
  </w:p>
  <w:p w14:paraId="7B786E66" w14:textId="77777777" w:rsidR="00630FCF" w:rsidRPr="001A7F5E" w:rsidRDefault="00630FCF" w:rsidP="00630FCF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A1799C2" wp14:editId="7672ACD9">
          <wp:extent cx="946785" cy="817880"/>
          <wp:effectExtent l="19050" t="0" r="571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304566" w14:textId="77777777"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4E34E1F" w14:textId="77777777"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6F38BC99" w14:textId="77777777" w:rsidR="00630FCF" w:rsidRPr="00C50A8D" w:rsidRDefault="00630FCF" w:rsidP="00630FCF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6EA82267" w14:textId="77777777" w:rsidR="00630FCF" w:rsidRPr="00925CAB" w:rsidRDefault="00630FCF" w:rsidP="00630FCF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33CCE1E" w14:textId="77777777" w:rsidR="005219BC" w:rsidRDefault="005219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63"/>
    <w:rsid w:val="00010A21"/>
    <w:rsid w:val="00142C63"/>
    <w:rsid w:val="001611C0"/>
    <w:rsid w:val="0016424D"/>
    <w:rsid w:val="0017265E"/>
    <w:rsid w:val="001B408D"/>
    <w:rsid w:val="001C42D6"/>
    <w:rsid w:val="001E5202"/>
    <w:rsid w:val="0021669D"/>
    <w:rsid w:val="00233AE3"/>
    <w:rsid w:val="00297DBE"/>
    <w:rsid w:val="003837D7"/>
    <w:rsid w:val="003B1179"/>
    <w:rsid w:val="004748F0"/>
    <w:rsid w:val="00483866"/>
    <w:rsid w:val="004D38A0"/>
    <w:rsid w:val="005219BC"/>
    <w:rsid w:val="00630FCF"/>
    <w:rsid w:val="00691071"/>
    <w:rsid w:val="00737820"/>
    <w:rsid w:val="0074114D"/>
    <w:rsid w:val="007475C0"/>
    <w:rsid w:val="007873BA"/>
    <w:rsid w:val="007C4115"/>
    <w:rsid w:val="007C56DA"/>
    <w:rsid w:val="008C4DC3"/>
    <w:rsid w:val="008D5E02"/>
    <w:rsid w:val="00971BFA"/>
    <w:rsid w:val="00980CB2"/>
    <w:rsid w:val="00A36C92"/>
    <w:rsid w:val="00A441A7"/>
    <w:rsid w:val="00A5760B"/>
    <w:rsid w:val="00A61B3E"/>
    <w:rsid w:val="00AE2A76"/>
    <w:rsid w:val="00B07B08"/>
    <w:rsid w:val="00B52EEF"/>
    <w:rsid w:val="00B615A7"/>
    <w:rsid w:val="00CE0837"/>
    <w:rsid w:val="00CE38DC"/>
    <w:rsid w:val="00D02765"/>
    <w:rsid w:val="00D312FA"/>
    <w:rsid w:val="00D75E19"/>
    <w:rsid w:val="00D76EEA"/>
    <w:rsid w:val="00DD746A"/>
    <w:rsid w:val="00E00CCA"/>
    <w:rsid w:val="00E02AFC"/>
    <w:rsid w:val="00E656EC"/>
    <w:rsid w:val="00F46260"/>
    <w:rsid w:val="00F96C36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723506"/>
  <w15:chartTrackingRefBased/>
  <w15:docId w15:val="{9C08A352-D43E-4F35-A2CA-1DA6956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42C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42C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626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62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46260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630F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F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E365-5460-43B4-8478-8A072CBA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Antônio Guimarães de Freitas</cp:lastModifiedBy>
  <cp:revision>2</cp:revision>
  <dcterms:created xsi:type="dcterms:W3CDTF">2025-02-11T18:27:00Z</dcterms:created>
  <dcterms:modified xsi:type="dcterms:W3CDTF">2025-02-11T18:27:00Z</dcterms:modified>
</cp:coreProperties>
</file>