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78843" w14:textId="08A5720F" w:rsidR="00FC0D7B" w:rsidRDefault="00FC0D7B" w:rsidP="00FC0D7B">
      <w:pPr>
        <w:keepNext/>
        <w:spacing w:after="0" w:line="360" w:lineRule="auto"/>
        <w:jc w:val="center"/>
        <w:outlineLvl w:val="0"/>
        <w:rPr>
          <w:rFonts w:ascii="Times New Roman" w:eastAsia="Times New Roman" w:hAnsi="Times New Roman" w:cs="Times New Roman"/>
          <w:b/>
          <w:bCs/>
          <w:kern w:val="32"/>
          <w:u w:val="single"/>
          <w:lang w:eastAsia="pt-BR"/>
        </w:rPr>
      </w:pPr>
      <w:r>
        <w:rPr>
          <w:rFonts w:ascii="Times New Roman" w:eastAsia="Times New Roman" w:hAnsi="Times New Roman" w:cs="Times New Roman"/>
          <w:b/>
          <w:bCs/>
          <w:kern w:val="32"/>
          <w:u w:val="single"/>
          <w:lang w:eastAsia="pt-BR"/>
        </w:rPr>
        <w:t>COMISSÃO DE CONSTITUIÇÃO, JUSTIÇA E CIDADANIA</w:t>
      </w:r>
    </w:p>
    <w:p w14:paraId="2CB355EC" w14:textId="45609E26" w:rsidR="00FC0D7B" w:rsidRDefault="00FC0D7B" w:rsidP="00FC0D7B">
      <w:pPr>
        <w:keepNext/>
        <w:spacing w:after="0" w:line="360" w:lineRule="auto"/>
        <w:jc w:val="center"/>
        <w:outlineLvl w:val="1"/>
        <w:rPr>
          <w:rFonts w:ascii="Times New Roman" w:eastAsia="Times New Roman" w:hAnsi="Times New Roman" w:cs="Times New Roman"/>
          <w:b/>
          <w:bCs/>
          <w:iCs/>
          <w:u w:val="single"/>
          <w:lang w:eastAsia="pt-BR"/>
        </w:rPr>
      </w:pPr>
      <w:r>
        <w:rPr>
          <w:rFonts w:ascii="Times New Roman" w:eastAsia="Times New Roman" w:hAnsi="Times New Roman" w:cs="Times New Roman"/>
          <w:b/>
          <w:bCs/>
          <w:iCs/>
          <w:u w:val="single"/>
          <w:lang w:eastAsia="pt-BR"/>
        </w:rPr>
        <w:t xml:space="preserve">P A R E C E R Nº </w:t>
      </w:r>
      <w:r w:rsidR="001C270E">
        <w:rPr>
          <w:rFonts w:ascii="Times New Roman" w:eastAsia="Times New Roman" w:hAnsi="Times New Roman" w:cs="Times New Roman"/>
          <w:b/>
          <w:bCs/>
          <w:iCs/>
          <w:u w:val="single"/>
          <w:lang w:eastAsia="pt-BR"/>
        </w:rPr>
        <w:t>041</w:t>
      </w:r>
      <w:r>
        <w:rPr>
          <w:rFonts w:ascii="Times New Roman" w:eastAsia="Times New Roman" w:hAnsi="Times New Roman" w:cs="Times New Roman"/>
          <w:b/>
          <w:bCs/>
          <w:iCs/>
          <w:u w:val="single"/>
          <w:lang w:eastAsia="pt-BR"/>
        </w:rPr>
        <w:t xml:space="preserve"> /2025</w:t>
      </w:r>
    </w:p>
    <w:p w14:paraId="68AB0875" w14:textId="22395D30" w:rsidR="004137DE" w:rsidRPr="00FC0D7B" w:rsidRDefault="00FC0D7B" w:rsidP="00FC0D7B">
      <w:pPr>
        <w:spacing w:after="0" w:line="360" w:lineRule="auto"/>
        <w:rPr>
          <w:rFonts w:ascii="Times New Roman" w:hAnsi="Times New Roman" w:cs="Times New Roman"/>
          <w:b/>
        </w:rPr>
      </w:pPr>
      <w:r w:rsidRPr="00FC0D7B">
        <w:rPr>
          <w:rFonts w:ascii="Times New Roman" w:hAnsi="Times New Roman" w:cs="Times New Roman"/>
          <w:b/>
        </w:rPr>
        <w:tab/>
      </w:r>
    </w:p>
    <w:p w14:paraId="04705A15" w14:textId="269FFEFC" w:rsidR="004137DE" w:rsidRPr="00FC0D7B" w:rsidRDefault="00FC0D7B" w:rsidP="00FC0D7B">
      <w:pPr>
        <w:spacing w:after="0" w:line="360" w:lineRule="auto"/>
        <w:jc w:val="both"/>
        <w:rPr>
          <w:rFonts w:ascii="Times New Roman" w:hAnsi="Times New Roman" w:cs="Times New Roman"/>
        </w:rPr>
      </w:pPr>
      <w:r w:rsidRPr="00FC0D7B">
        <w:rPr>
          <w:rFonts w:ascii="Times New Roman" w:hAnsi="Times New Roman" w:cs="Times New Roman"/>
          <w:b/>
          <w:u w:val="single"/>
        </w:rPr>
        <w:t>RELATÓRIO</w:t>
      </w:r>
      <w:r w:rsidR="001C270E">
        <w:rPr>
          <w:rFonts w:ascii="Times New Roman" w:hAnsi="Times New Roman" w:cs="Times New Roman"/>
          <w:b/>
          <w:u w:val="single"/>
        </w:rPr>
        <w:t>:</w:t>
      </w:r>
    </w:p>
    <w:p w14:paraId="5E4CC101" w14:textId="6EE0B8F6" w:rsidR="004137DE" w:rsidRPr="00FC0D7B" w:rsidRDefault="00FC0D7B" w:rsidP="001C270E">
      <w:pPr>
        <w:spacing w:after="0" w:line="360" w:lineRule="auto"/>
        <w:ind w:firstLine="851"/>
        <w:jc w:val="both"/>
        <w:rPr>
          <w:rFonts w:ascii="Times New Roman" w:hAnsi="Times New Roman" w:cs="Times New Roman"/>
          <w:color w:val="000000"/>
        </w:rPr>
      </w:pPr>
      <w:r w:rsidRPr="00FC0D7B">
        <w:rPr>
          <w:rFonts w:ascii="Times New Roman" w:hAnsi="Times New Roman" w:cs="Times New Roman"/>
        </w:rPr>
        <w:t xml:space="preserve">Cuida-se da análise da </w:t>
      </w:r>
      <w:r w:rsidRPr="00FC0D7B">
        <w:rPr>
          <w:rFonts w:ascii="Times New Roman" w:hAnsi="Times New Roman" w:cs="Times New Roman"/>
          <w:b/>
        </w:rPr>
        <w:t>constitucionalidade</w:t>
      </w:r>
      <w:r w:rsidRPr="00FC0D7B">
        <w:rPr>
          <w:rFonts w:ascii="Times New Roman" w:hAnsi="Times New Roman" w:cs="Times New Roman"/>
        </w:rPr>
        <w:t xml:space="preserve">, </w:t>
      </w:r>
      <w:r w:rsidRPr="00FC0D7B">
        <w:rPr>
          <w:rFonts w:ascii="Times New Roman" w:hAnsi="Times New Roman" w:cs="Times New Roman"/>
          <w:b/>
        </w:rPr>
        <w:t>legalidade</w:t>
      </w:r>
      <w:r w:rsidRPr="00FC0D7B">
        <w:rPr>
          <w:rFonts w:ascii="Times New Roman" w:hAnsi="Times New Roman" w:cs="Times New Roman"/>
        </w:rPr>
        <w:t xml:space="preserve">, </w:t>
      </w:r>
      <w:proofErr w:type="spellStart"/>
      <w:r w:rsidRPr="00FC0D7B">
        <w:rPr>
          <w:rFonts w:ascii="Times New Roman" w:hAnsi="Times New Roman" w:cs="Times New Roman"/>
          <w:b/>
          <w:color w:val="000000"/>
        </w:rPr>
        <w:t>regimentalidade</w:t>
      </w:r>
      <w:proofErr w:type="spellEnd"/>
      <w:r w:rsidRPr="00FC0D7B">
        <w:rPr>
          <w:rFonts w:ascii="Times New Roman" w:hAnsi="Times New Roman" w:cs="Times New Roman"/>
          <w:color w:val="000000"/>
        </w:rPr>
        <w:t xml:space="preserve">, </w:t>
      </w:r>
      <w:r w:rsidRPr="00FC0D7B">
        <w:rPr>
          <w:rFonts w:ascii="Times New Roman" w:hAnsi="Times New Roman" w:cs="Times New Roman"/>
          <w:b/>
          <w:color w:val="000000"/>
        </w:rPr>
        <w:t>juridicidade</w:t>
      </w:r>
      <w:r w:rsidRPr="00FC0D7B">
        <w:rPr>
          <w:rFonts w:ascii="Times New Roman" w:hAnsi="Times New Roman" w:cs="Times New Roman"/>
          <w:color w:val="000000"/>
        </w:rPr>
        <w:t xml:space="preserve"> e </w:t>
      </w:r>
      <w:r w:rsidRPr="00FC0D7B">
        <w:rPr>
          <w:rFonts w:ascii="Times New Roman" w:hAnsi="Times New Roman" w:cs="Times New Roman"/>
          <w:b/>
          <w:color w:val="000000"/>
        </w:rPr>
        <w:t>adequada técnica legislativa do Projeto de Lei n</w:t>
      </w:r>
      <w:r w:rsidR="001C270E">
        <w:rPr>
          <w:rFonts w:ascii="Times New Roman" w:hAnsi="Times New Roman" w:cs="Times New Roman"/>
          <w:b/>
          <w:color w:val="000000"/>
        </w:rPr>
        <w:t>º</w:t>
      </w:r>
      <w:r w:rsidRPr="00FC0D7B">
        <w:rPr>
          <w:rFonts w:ascii="Times New Roman" w:hAnsi="Times New Roman" w:cs="Times New Roman"/>
          <w:b/>
          <w:color w:val="000000"/>
        </w:rPr>
        <w:t xml:space="preserve"> </w:t>
      </w:r>
      <w:r w:rsidR="0082256D" w:rsidRPr="00FC0D7B">
        <w:rPr>
          <w:rFonts w:ascii="Times New Roman" w:hAnsi="Times New Roman" w:cs="Times New Roman"/>
          <w:b/>
        </w:rPr>
        <w:t>446</w:t>
      </w:r>
      <w:r w:rsidRPr="00FC0D7B">
        <w:rPr>
          <w:rFonts w:ascii="Times New Roman" w:hAnsi="Times New Roman" w:cs="Times New Roman"/>
          <w:b/>
          <w:color w:val="000000"/>
        </w:rPr>
        <w:t>/2024</w:t>
      </w:r>
      <w:r w:rsidRPr="00FC0D7B">
        <w:rPr>
          <w:rFonts w:ascii="Times New Roman" w:hAnsi="Times New Roman" w:cs="Times New Roman"/>
          <w:color w:val="000000"/>
        </w:rPr>
        <w:t xml:space="preserve">, de autoria do </w:t>
      </w:r>
      <w:r w:rsidRPr="00FC0D7B">
        <w:rPr>
          <w:rFonts w:ascii="Times New Roman" w:hAnsi="Times New Roman" w:cs="Times New Roman"/>
          <w:b/>
          <w:bCs/>
          <w:color w:val="000000"/>
          <w:u w:val="single"/>
        </w:rPr>
        <w:t xml:space="preserve">Senhor </w:t>
      </w:r>
      <w:r w:rsidRPr="00FC0D7B">
        <w:rPr>
          <w:rFonts w:ascii="Times New Roman" w:hAnsi="Times New Roman" w:cs="Times New Roman"/>
          <w:b/>
          <w:color w:val="000000"/>
          <w:u w:val="single"/>
        </w:rPr>
        <w:t>Dep</w:t>
      </w:r>
      <w:r w:rsidRPr="00FC0D7B">
        <w:rPr>
          <w:rFonts w:ascii="Times New Roman" w:hAnsi="Times New Roman" w:cs="Times New Roman"/>
          <w:b/>
          <w:u w:val="single"/>
        </w:rPr>
        <w:t xml:space="preserve">utado </w:t>
      </w:r>
      <w:r w:rsidR="0082256D" w:rsidRPr="00FC0D7B">
        <w:rPr>
          <w:rFonts w:ascii="Times New Roman" w:hAnsi="Times New Roman" w:cs="Times New Roman"/>
          <w:b/>
          <w:u w:val="single"/>
        </w:rPr>
        <w:t>Davi Brandão</w:t>
      </w:r>
      <w:r w:rsidRPr="00FC0D7B">
        <w:rPr>
          <w:rFonts w:ascii="Times New Roman" w:hAnsi="Times New Roman" w:cs="Times New Roman"/>
        </w:rPr>
        <w:t xml:space="preserve">, </w:t>
      </w:r>
      <w:r w:rsidRPr="00FC0D7B">
        <w:rPr>
          <w:rFonts w:ascii="Times New Roman" w:hAnsi="Times New Roman" w:cs="Times New Roman"/>
          <w:color w:val="000000"/>
        </w:rPr>
        <w:t>que</w:t>
      </w:r>
      <w:r w:rsidR="0082256D" w:rsidRPr="00FC0D7B">
        <w:rPr>
          <w:rFonts w:ascii="Times New Roman" w:hAnsi="Times New Roman" w:cs="Times New Roman"/>
          <w:color w:val="000000"/>
        </w:rPr>
        <w:t xml:space="preserve"> dispõe sobre a obrigatoriedade de a administração pública estadual divulgar em seu site institucional a localização de todos os radares de fiscalização e os respectivos limites de velocidade no </w:t>
      </w:r>
      <w:r w:rsidR="0042024B" w:rsidRPr="00FC0D7B">
        <w:rPr>
          <w:rFonts w:ascii="Times New Roman" w:hAnsi="Times New Roman" w:cs="Times New Roman"/>
          <w:color w:val="000000"/>
        </w:rPr>
        <w:t>E</w:t>
      </w:r>
      <w:r w:rsidR="0082256D" w:rsidRPr="00FC0D7B">
        <w:rPr>
          <w:rFonts w:ascii="Times New Roman" w:hAnsi="Times New Roman" w:cs="Times New Roman"/>
          <w:color w:val="000000"/>
        </w:rPr>
        <w:t xml:space="preserve">stado do </w:t>
      </w:r>
      <w:r w:rsidR="0042024B" w:rsidRPr="00FC0D7B">
        <w:rPr>
          <w:rFonts w:ascii="Times New Roman" w:hAnsi="Times New Roman" w:cs="Times New Roman"/>
          <w:color w:val="000000"/>
        </w:rPr>
        <w:t>M</w:t>
      </w:r>
      <w:r w:rsidR="0082256D" w:rsidRPr="00FC0D7B">
        <w:rPr>
          <w:rFonts w:ascii="Times New Roman" w:hAnsi="Times New Roman" w:cs="Times New Roman"/>
          <w:color w:val="000000"/>
        </w:rPr>
        <w:t>aranhão.</w:t>
      </w:r>
    </w:p>
    <w:p w14:paraId="2C8ADF72" w14:textId="28535AEE" w:rsidR="00FC0D7B" w:rsidRPr="00FC0D7B" w:rsidRDefault="00FC0D7B" w:rsidP="001C270E">
      <w:pPr>
        <w:tabs>
          <w:tab w:val="left" w:pos="1418"/>
        </w:tabs>
        <w:spacing w:line="360" w:lineRule="auto"/>
        <w:ind w:firstLine="851"/>
        <w:jc w:val="both"/>
        <w:rPr>
          <w:rFonts w:ascii="Times New Roman" w:hAnsi="Times New Roman" w:cs="Times New Roman"/>
        </w:rPr>
      </w:pPr>
      <w:r w:rsidRPr="00FC0D7B">
        <w:rPr>
          <w:rFonts w:ascii="Times New Roman" w:hAnsi="Times New Roman" w:cs="Times New Roman"/>
          <w:color w:val="000000"/>
        </w:rPr>
        <w:t xml:space="preserve">Nos termos do projeto de lei sob exame, </w:t>
      </w:r>
      <w:r w:rsidRPr="00FC0D7B">
        <w:rPr>
          <w:rFonts w:ascii="Times New Roman" w:hAnsi="Times New Roman" w:cs="Times New Roman"/>
        </w:rPr>
        <w:t>a Administração Pública Estadual fica obrigada a divulgar, em seu site institucional, a localização, o horário de funcionamento e o limite de velocidade de todos os radares de fiscalização de velocidade em operação no Estado do Maranhão.</w:t>
      </w:r>
    </w:p>
    <w:p w14:paraId="2D2B596E" w14:textId="5C8D5A0E" w:rsidR="00FC0D7B" w:rsidRPr="00FC0D7B" w:rsidRDefault="00FC0D7B" w:rsidP="001C270E">
      <w:pPr>
        <w:spacing w:after="0" w:line="360" w:lineRule="auto"/>
        <w:ind w:firstLine="709"/>
        <w:jc w:val="both"/>
        <w:rPr>
          <w:rFonts w:ascii="Times New Roman" w:hAnsi="Times New Roman" w:cs="Times New Roman"/>
        </w:rPr>
      </w:pPr>
      <w:r w:rsidRPr="00FC0D7B">
        <w:rPr>
          <w:rFonts w:ascii="Times New Roman" w:hAnsi="Times New Roman" w:cs="Times New Roman"/>
        </w:rPr>
        <w:t xml:space="preserve">   Para os fins desta propositura de lei, consideram-se:  </w:t>
      </w:r>
      <w:r w:rsidRPr="00FC0D7B">
        <w:rPr>
          <w:rFonts w:ascii="Times New Roman" w:hAnsi="Times New Roman" w:cs="Times New Roman"/>
          <w:b/>
          <w:bCs/>
        </w:rPr>
        <w:t>radares fixos</w:t>
      </w:r>
      <w:r w:rsidRPr="00FC0D7B">
        <w:rPr>
          <w:rFonts w:ascii="Times New Roman" w:hAnsi="Times New Roman" w:cs="Times New Roman"/>
        </w:rPr>
        <w:t xml:space="preserve">: equipamentos instalados de forma permanente em determinados locais, como controladores de velocidade ou lombadas eletrônicas;  </w:t>
      </w:r>
      <w:r w:rsidRPr="00FC0D7B">
        <w:rPr>
          <w:rFonts w:ascii="Times New Roman" w:hAnsi="Times New Roman" w:cs="Times New Roman"/>
          <w:b/>
          <w:bCs/>
        </w:rPr>
        <w:t>radares móveis</w:t>
      </w:r>
      <w:r w:rsidRPr="00FC0D7B">
        <w:rPr>
          <w:rFonts w:ascii="Times New Roman" w:hAnsi="Times New Roman" w:cs="Times New Roman"/>
        </w:rPr>
        <w:t xml:space="preserve">: equipamentos alocados em veículos da Administração Pública para a fiscalização em movimento; </w:t>
      </w:r>
      <w:r w:rsidRPr="00FC0D7B">
        <w:rPr>
          <w:rFonts w:ascii="Times New Roman" w:hAnsi="Times New Roman" w:cs="Times New Roman"/>
        </w:rPr>
        <w:tab/>
        <w:t xml:space="preserve"> </w:t>
      </w:r>
      <w:r w:rsidRPr="00FC0D7B">
        <w:rPr>
          <w:rFonts w:ascii="Times New Roman" w:hAnsi="Times New Roman" w:cs="Times New Roman"/>
          <w:b/>
          <w:bCs/>
        </w:rPr>
        <w:t>radares estáticos</w:t>
      </w:r>
      <w:r w:rsidRPr="00FC0D7B">
        <w:rPr>
          <w:rFonts w:ascii="Times New Roman" w:hAnsi="Times New Roman" w:cs="Times New Roman"/>
        </w:rPr>
        <w:t xml:space="preserve">: equipamentos temporariamente posicionados sobre tripés ou veículos estacionados;  </w:t>
      </w:r>
      <w:r w:rsidRPr="00FC0D7B">
        <w:rPr>
          <w:rFonts w:ascii="Times New Roman" w:hAnsi="Times New Roman" w:cs="Times New Roman"/>
          <w:b/>
          <w:bCs/>
        </w:rPr>
        <w:t>radares portáteis</w:t>
      </w:r>
      <w:r w:rsidRPr="00FC0D7B">
        <w:rPr>
          <w:rFonts w:ascii="Times New Roman" w:hAnsi="Times New Roman" w:cs="Times New Roman"/>
        </w:rPr>
        <w:t>: dispositivos manuseados por agentes fiscalizadores, que apontam o equipamento diretamente para o veículo em circulação.</w:t>
      </w:r>
    </w:p>
    <w:p w14:paraId="1A0D510B" w14:textId="7E3F3DE9" w:rsidR="00FC0D7B" w:rsidRPr="00FC0D7B" w:rsidRDefault="00FC0D7B" w:rsidP="00FC0D7B">
      <w:pPr>
        <w:spacing w:line="360" w:lineRule="auto"/>
        <w:ind w:firstLine="993"/>
        <w:jc w:val="both"/>
        <w:rPr>
          <w:rFonts w:ascii="Times New Roman" w:hAnsi="Times New Roman" w:cs="Times New Roman"/>
          <w:i/>
          <w:iCs/>
        </w:rPr>
      </w:pPr>
      <w:r w:rsidRPr="001C270E">
        <w:rPr>
          <w:rFonts w:ascii="Times New Roman" w:hAnsi="Times New Roman" w:cs="Times New Roman"/>
        </w:rPr>
        <w:t>Registra a justificativa do autor que</w:t>
      </w:r>
      <w:r w:rsidRPr="00FC0D7B">
        <w:rPr>
          <w:rFonts w:ascii="Times New Roman" w:hAnsi="Times New Roman" w:cs="Times New Roman"/>
          <w:i/>
          <w:iCs/>
        </w:rPr>
        <w:t>, o presente projeto de lei trata da divulgação pública das informações referentes aos radares de fiscalização de velocidade instalados nas vias sob responsabilidade do Estado do Maranhão. Embora a fiscalização de trânsito seja regulamentada principalmente por normas federais, conforme o art. 22, XI, da Constituição Federal, o presente projeto não altera regras de trânsito, mas define procedimentos administrativos relacionados à transparência da atuação do Poder Público.</w:t>
      </w:r>
    </w:p>
    <w:p w14:paraId="0BEABFA8" w14:textId="455A5C00" w:rsidR="00FC0D7B" w:rsidRPr="00FC0D7B" w:rsidRDefault="00FC0D7B" w:rsidP="00FC0D7B">
      <w:pPr>
        <w:spacing w:line="360" w:lineRule="auto"/>
        <w:ind w:firstLine="993"/>
        <w:jc w:val="both"/>
        <w:rPr>
          <w:rFonts w:ascii="Times New Roman" w:hAnsi="Times New Roman" w:cs="Times New Roman"/>
          <w:i/>
          <w:iCs/>
        </w:rPr>
      </w:pPr>
      <w:r w:rsidRPr="00FC0D7B">
        <w:rPr>
          <w:rFonts w:ascii="Times New Roman" w:hAnsi="Times New Roman" w:cs="Times New Roman"/>
          <w:i/>
          <w:iCs/>
        </w:rPr>
        <w:t>Assim, este projeto está inserido na competência concorrente prevista no art. 24, inciso XII, da Constituição Federal, que autoriza os Estados a legislarem sobre procedimentos administrativos e proteção do consumidor. A divulgação das informações sobre radares busca garantir a transparência e promover a segurança viária, respeitando as normas federais de trânsito.</w:t>
      </w:r>
    </w:p>
    <w:p w14:paraId="47C74D66" w14:textId="77777777" w:rsidR="00FC0D7B" w:rsidRPr="00FC0D7B" w:rsidRDefault="00FC0D7B" w:rsidP="00FC0D7B">
      <w:pPr>
        <w:spacing w:line="360" w:lineRule="auto"/>
        <w:ind w:firstLine="993"/>
        <w:jc w:val="both"/>
        <w:rPr>
          <w:rFonts w:ascii="Times New Roman" w:hAnsi="Times New Roman" w:cs="Times New Roman"/>
          <w:i/>
          <w:iCs/>
        </w:rPr>
      </w:pPr>
      <w:r w:rsidRPr="00FC0D7B">
        <w:rPr>
          <w:rFonts w:ascii="Times New Roman" w:hAnsi="Times New Roman" w:cs="Times New Roman"/>
          <w:i/>
          <w:iCs/>
        </w:rPr>
        <w:lastRenderedPageBreak/>
        <w:tab/>
        <w:t>O projeto não cria obrigações específicas para o Poder Executivo que envolvam organização administrativa ou a criação de novos cargos ou despesas além daquelas ordinárias da gestão pública. Portanto, não há reserva de iniciativa ao Poder Executivo para legislar sobre o tema. A proposição insere-se no campo da competência do Legislativo para normatizar aspectos de transparência e fiscalizar a atividade administrativa do Estado.</w:t>
      </w:r>
    </w:p>
    <w:p w14:paraId="424105D2" w14:textId="514D9F9D" w:rsidR="00FC0D7B" w:rsidRPr="00FC0D7B" w:rsidRDefault="00FC0D7B" w:rsidP="00FC0D7B">
      <w:pPr>
        <w:spacing w:after="240" w:line="360" w:lineRule="auto"/>
        <w:ind w:firstLine="993"/>
        <w:jc w:val="both"/>
        <w:rPr>
          <w:rFonts w:ascii="Times New Roman" w:hAnsi="Times New Roman" w:cs="Times New Roman"/>
          <w:i/>
          <w:iCs/>
        </w:rPr>
      </w:pPr>
      <w:r w:rsidRPr="00FC0D7B">
        <w:rPr>
          <w:rFonts w:ascii="Times New Roman" w:hAnsi="Times New Roman" w:cs="Times New Roman"/>
          <w:i/>
          <w:iCs/>
        </w:rPr>
        <w:tab/>
        <w:t>A obrigatoriedade de disponibilização pública da localização dos radares reforça o direito à informação, essencial ao exercício da cidadania, ao mesmo tempo em que colabora para a segurança viária. Este tipo de legislação também tem sido adotado em outros estados como forma de garantir previsibilidade e confiança nas ações do poder público. Essa justificativa por si só atende a pertinência da matéria.</w:t>
      </w:r>
    </w:p>
    <w:p w14:paraId="1E505BD5" w14:textId="26729226" w:rsidR="0082256D" w:rsidRPr="00FC0D7B" w:rsidRDefault="0082256D" w:rsidP="002365AA">
      <w:pPr>
        <w:spacing w:after="0" w:line="360" w:lineRule="auto"/>
        <w:ind w:firstLine="708"/>
        <w:jc w:val="both"/>
        <w:rPr>
          <w:rFonts w:ascii="Times New Roman" w:hAnsi="Times New Roman" w:cs="Times New Roman"/>
        </w:rPr>
      </w:pPr>
      <w:r w:rsidRPr="00FC0D7B">
        <w:rPr>
          <w:rFonts w:ascii="Times New Roman" w:eastAsia="Arial" w:hAnsi="Times New Roman" w:cs="Times New Roman"/>
          <w:color w:val="000000"/>
        </w:rPr>
        <w:t>Inicialmente, cumpre destacar que</w:t>
      </w:r>
      <w:r w:rsidRPr="00FC0D7B">
        <w:rPr>
          <w:rFonts w:ascii="Times New Roman" w:hAnsi="Times New Roman" w:cs="Times New Roman"/>
          <w:color w:val="000000"/>
        </w:rPr>
        <w:t xml:space="preserve"> a repartição de competências legislativas no Brasil se dá de forma vertical e horizontal, estabelecendo-se a distribuição de atribuições legislativas entre os entes federativos (União, Estados, Distrito Federal e Municípios) com base nas regras previstas na Constituição da República Federativa de 198 (CRFB/88). Tal divisão visa equilibrar o sistema federativo, garantir a autonomia dos entes e promover a colaboração na edição de normas e implementação de políticas públicas. </w:t>
      </w:r>
    </w:p>
    <w:p w14:paraId="732ED26E" w14:textId="77777777" w:rsidR="002365AA" w:rsidRPr="00FC0D7B" w:rsidRDefault="0082256D" w:rsidP="00B4314E">
      <w:pPr>
        <w:spacing w:after="0" w:line="360" w:lineRule="auto"/>
        <w:ind w:firstLine="708"/>
        <w:jc w:val="both"/>
        <w:rPr>
          <w:rFonts w:ascii="Times New Roman" w:eastAsia="Arial" w:hAnsi="Times New Roman" w:cs="Times New Roman"/>
          <w:color w:val="000000"/>
        </w:rPr>
      </w:pPr>
      <w:r w:rsidRPr="00FC0D7B">
        <w:rPr>
          <w:rFonts w:ascii="Times New Roman" w:hAnsi="Times New Roman" w:cs="Times New Roman"/>
          <w:color w:val="000000"/>
        </w:rPr>
        <w:t>Sendo assim, deve-se atentar neste momento aos</w:t>
      </w:r>
      <w:r w:rsidRPr="00FC0D7B">
        <w:rPr>
          <w:rFonts w:ascii="Times New Roman" w:eastAsia="Arial" w:hAnsi="Times New Roman" w:cs="Times New Roman"/>
          <w:color w:val="000000"/>
        </w:rPr>
        <w:t xml:space="preserve"> aspectos de constitucionalidade, </w:t>
      </w:r>
      <w:proofErr w:type="spellStart"/>
      <w:r w:rsidRPr="00FC0D7B">
        <w:rPr>
          <w:rFonts w:ascii="Times New Roman" w:eastAsia="Arial" w:hAnsi="Times New Roman" w:cs="Times New Roman"/>
          <w:color w:val="000000"/>
        </w:rPr>
        <w:t>regimentalidade</w:t>
      </w:r>
      <w:proofErr w:type="spellEnd"/>
      <w:r w:rsidRPr="00FC0D7B">
        <w:rPr>
          <w:rFonts w:ascii="Times New Roman" w:eastAsia="Arial" w:hAnsi="Times New Roman" w:cs="Times New Roman"/>
          <w:color w:val="000000"/>
        </w:rPr>
        <w:t xml:space="preserve"> e legalidade da presente proposta.</w:t>
      </w:r>
    </w:p>
    <w:p w14:paraId="2DD2DF16" w14:textId="0EF61C7A" w:rsidR="00E21D08" w:rsidRPr="00FC0D7B" w:rsidRDefault="00390E06" w:rsidP="00AE5B9A">
      <w:pPr>
        <w:spacing w:after="0" w:line="360" w:lineRule="auto"/>
        <w:ind w:firstLine="708"/>
        <w:jc w:val="both"/>
        <w:rPr>
          <w:rFonts w:ascii="Times New Roman" w:eastAsia="Arial" w:hAnsi="Times New Roman" w:cs="Times New Roman"/>
          <w:color w:val="000000"/>
        </w:rPr>
      </w:pPr>
      <w:r w:rsidRPr="00FC0D7B">
        <w:rPr>
          <w:rFonts w:ascii="Times New Roman" w:eastAsia="Arial" w:hAnsi="Times New Roman" w:cs="Times New Roman"/>
          <w:color w:val="000000"/>
        </w:rPr>
        <w:t>Em primeira análise, deve-se mencionar que compete privativamente à União legislar sobre trânsito e transporte, nos termos do art. 2</w:t>
      </w:r>
      <w:r w:rsidR="00581606" w:rsidRPr="00FC0D7B">
        <w:rPr>
          <w:rFonts w:ascii="Times New Roman" w:eastAsia="Arial" w:hAnsi="Times New Roman" w:cs="Times New Roman"/>
          <w:color w:val="000000"/>
        </w:rPr>
        <w:t>2, XI,</w:t>
      </w:r>
      <w:r w:rsidRPr="00FC0D7B">
        <w:rPr>
          <w:rFonts w:ascii="Times New Roman" w:eastAsia="Arial" w:hAnsi="Times New Roman" w:cs="Times New Roman"/>
          <w:color w:val="000000"/>
        </w:rPr>
        <w:t xml:space="preserve"> da CRFB/88</w:t>
      </w:r>
      <w:r w:rsidR="00581606" w:rsidRPr="00FC0D7B">
        <w:rPr>
          <w:rFonts w:ascii="Times New Roman" w:eastAsia="Arial" w:hAnsi="Times New Roman" w:cs="Times New Roman"/>
          <w:color w:val="000000"/>
        </w:rPr>
        <w:t>:</w:t>
      </w:r>
    </w:p>
    <w:p w14:paraId="6B407715" w14:textId="77777777" w:rsidR="00E21D08" w:rsidRPr="00FC0D7B" w:rsidRDefault="00E21D08" w:rsidP="00E21D08">
      <w:pPr>
        <w:shd w:val="clear" w:color="auto" w:fill="FFFFFF"/>
        <w:suppressAutoHyphens w:val="0"/>
        <w:spacing w:before="100" w:beforeAutospacing="1" w:after="100" w:afterAutospacing="1" w:line="240" w:lineRule="auto"/>
        <w:ind w:left="3402"/>
        <w:jc w:val="both"/>
        <w:rPr>
          <w:rFonts w:ascii="Times New Roman" w:eastAsia="Times New Roman" w:hAnsi="Times New Roman" w:cs="Times New Roman"/>
          <w:color w:val="000000"/>
          <w:lang w:eastAsia="pt-BR"/>
        </w:rPr>
      </w:pPr>
      <w:r w:rsidRPr="00FC0D7B">
        <w:rPr>
          <w:rFonts w:ascii="Times New Roman" w:eastAsia="Times New Roman" w:hAnsi="Times New Roman" w:cs="Times New Roman"/>
          <w:color w:val="000000"/>
          <w:lang w:eastAsia="pt-BR"/>
        </w:rPr>
        <w:t>Art. 22. Compete privativamente à União legislar sobre:</w:t>
      </w:r>
    </w:p>
    <w:p w14:paraId="61CE4351" w14:textId="77777777" w:rsidR="00E21D08" w:rsidRPr="00FC0D7B" w:rsidRDefault="00E21D08" w:rsidP="00E21D08">
      <w:pPr>
        <w:shd w:val="clear" w:color="auto" w:fill="FFFFFF"/>
        <w:suppressAutoHyphens w:val="0"/>
        <w:spacing w:before="100" w:beforeAutospacing="1" w:after="100" w:afterAutospacing="1" w:line="240" w:lineRule="auto"/>
        <w:ind w:left="3402"/>
        <w:jc w:val="both"/>
        <w:rPr>
          <w:rFonts w:ascii="Times New Roman" w:eastAsia="Times New Roman" w:hAnsi="Times New Roman" w:cs="Times New Roman"/>
          <w:color w:val="000000"/>
          <w:lang w:eastAsia="pt-BR"/>
        </w:rPr>
      </w:pPr>
      <w:bookmarkStart w:id="0" w:name="cfart22i"/>
      <w:bookmarkStart w:id="1" w:name="cfart22xi"/>
      <w:bookmarkEnd w:id="0"/>
      <w:bookmarkEnd w:id="1"/>
      <w:r w:rsidRPr="00FC0D7B">
        <w:rPr>
          <w:rFonts w:ascii="Times New Roman" w:eastAsia="Times New Roman" w:hAnsi="Times New Roman" w:cs="Times New Roman"/>
          <w:color w:val="000000"/>
          <w:lang w:eastAsia="pt-BR"/>
        </w:rPr>
        <w:t>[...]</w:t>
      </w:r>
    </w:p>
    <w:p w14:paraId="54FA4AAE" w14:textId="16C924A6" w:rsidR="00E21D08" w:rsidRPr="00FC0D7B" w:rsidRDefault="00E21D08" w:rsidP="00E21D08">
      <w:pPr>
        <w:shd w:val="clear" w:color="auto" w:fill="FFFFFF"/>
        <w:suppressAutoHyphens w:val="0"/>
        <w:spacing w:before="100" w:beforeAutospacing="1" w:after="100" w:afterAutospacing="1" w:line="240" w:lineRule="auto"/>
        <w:ind w:left="3402"/>
        <w:jc w:val="both"/>
        <w:rPr>
          <w:rFonts w:ascii="Times New Roman" w:eastAsia="Times New Roman" w:hAnsi="Times New Roman" w:cs="Times New Roman"/>
          <w:color w:val="000000"/>
          <w:lang w:eastAsia="pt-BR"/>
        </w:rPr>
      </w:pPr>
      <w:r w:rsidRPr="00FC0D7B">
        <w:rPr>
          <w:rFonts w:ascii="Times New Roman" w:eastAsia="Times New Roman" w:hAnsi="Times New Roman" w:cs="Times New Roman"/>
          <w:color w:val="000000"/>
          <w:lang w:eastAsia="pt-BR"/>
        </w:rPr>
        <w:t>XI - trânsito e transporte;</w:t>
      </w:r>
    </w:p>
    <w:p w14:paraId="6B06B137" w14:textId="581BE429" w:rsidR="00E21D08" w:rsidRPr="00FC0D7B" w:rsidRDefault="00E21D08" w:rsidP="00E21D08">
      <w:pPr>
        <w:spacing w:after="0" w:line="360" w:lineRule="auto"/>
        <w:ind w:firstLine="1134"/>
        <w:jc w:val="both"/>
        <w:rPr>
          <w:rFonts w:ascii="Times New Roman" w:eastAsia="Arial" w:hAnsi="Times New Roman" w:cs="Times New Roman"/>
          <w:color w:val="000000"/>
        </w:rPr>
      </w:pPr>
      <w:r w:rsidRPr="00FC0D7B">
        <w:rPr>
          <w:rFonts w:ascii="Times New Roman" w:eastAsia="Arial" w:hAnsi="Times New Roman" w:cs="Times New Roman"/>
          <w:color w:val="000000"/>
        </w:rPr>
        <w:t>Nesse sentido,</w:t>
      </w:r>
      <w:r w:rsidRPr="00FC0D7B">
        <w:rPr>
          <w:rFonts w:ascii="Times New Roman" w:hAnsi="Times New Roman" w:cs="Times New Roman"/>
        </w:rPr>
        <w:t xml:space="preserve"> </w:t>
      </w:r>
      <w:r w:rsidRPr="00FC0D7B">
        <w:rPr>
          <w:rFonts w:ascii="Times New Roman" w:eastAsia="Arial" w:hAnsi="Times New Roman" w:cs="Times New Roman"/>
          <w:color w:val="000000"/>
        </w:rPr>
        <w:t>a caracterização dos tipos de medidores de velocidade já encontra previsão no art. 3° da Resolução Nº 798 do CONTRAM, de 02 de setembro de 2020:</w:t>
      </w:r>
    </w:p>
    <w:p w14:paraId="157E049B" w14:textId="57C4A2B1"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Art. 3º Os medidores de velocidade são do tipo:</w:t>
      </w:r>
    </w:p>
    <w:p w14:paraId="31EC2673" w14:textId="2DA24EF9"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 xml:space="preserve">I - </w:t>
      </w:r>
      <w:proofErr w:type="gramStart"/>
      <w:r w:rsidRPr="00FC0D7B">
        <w:rPr>
          <w:rFonts w:ascii="Times New Roman" w:eastAsia="Arial" w:hAnsi="Times New Roman" w:cs="Times New Roman"/>
          <w:color w:val="000000"/>
        </w:rPr>
        <w:t>fixo</w:t>
      </w:r>
      <w:proofErr w:type="gramEnd"/>
      <w:r w:rsidRPr="00FC0D7B">
        <w:rPr>
          <w:rFonts w:ascii="Times New Roman" w:eastAsia="Arial" w:hAnsi="Times New Roman" w:cs="Times New Roman"/>
          <w:color w:val="000000"/>
        </w:rPr>
        <w:t>: medidor de velocidade com registro de imagem instalado em local definido e em caráter duradouro, podendo ser especificado como:</w:t>
      </w:r>
    </w:p>
    <w:p w14:paraId="507FB7E1" w14:textId="46BC64CC"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a) controlador: medidor de velocidade destinado a fiscalizar o limite máximo de velocidade da via ou de seu ponto específico, sinalizado por meio de placa R-19; ou</w:t>
      </w:r>
    </w:p>
    <w:p w14:paraId="6EC9BAD8" w14:textId="4473C4BE"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lastRenderedPageBreak/>
        <w:t>b) redutor: medidor de velocidade, obrigatoriamente dotado de display, destinado a fiscalizar a redução pontual de velocidade estabelecida em relação à velocidade diretriz da via, por meio de sinalização com placa R-19, em trechos críticos e de vulnerabilidade dos usuários da via.</w:t>
      </w:r>
    </w:p>
    <w:p w14:paraId="66D20DA9" w14:textId="284F96AD"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 xml:space="preserve">II - </w:t>
      </w:r>
      <w:proofErr w:type="gramStart"/>
      <w:r w:rsidRPr="00FC0D7B">
        <w:rPr>
          <w:rFonts w:ascii="Times New Roman" w:eastAsia="Arial" w:hAnsi="Times New Roman" w:cs="Times New Roman"/>
          <w:color w:val="000000"/>
        </w:rPr>
        <w:t>portátil</w:t>
      </w:r>
      <w:proofErr w:type="gramEnd"/>
      <w:r w:rsidRPr="00FC0D7B">
        <w:rPr>
          <w:rFonts w:ascii="Times New Roman" w:eastAsia="Arial" w:hAnsi="Times New Roman" w:cs="Times New Roman"/>
          <w:color w:val="000000"/>
        </w:rPr>
        <w:t>: medidor de velocidade com registro de imagem, podendo ser instalado em viatura caracterizada estacionada, em tripé, suporte fixo ou manual, usado ostensivamente como controlador em via ou em seu ponto específico, que apresente limite de velocidade igual ou superior a 60 km/h.</w:t>
      </w:r>
    </w:p>
    <w:p w14:paraId="28129056" w14:textId="105422AC"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 1º Considera-se display painel eletrônico que exibe a velocidade registrada por medidor de velocidade do tipo fixo.</w:t>
      </w:r>
    </w:p>
    <w:p w14:paraId="1FF626F2" w14:textId="6B37F9D3" w:rsidR="00E21D08" w:rsidRPr="00FC0D7B" w:rsidRDefault="00E21D08" w:rsidP="00E21D08">
      <w:pPr>
        <w:spacing w:after="0" w:line="240" w:lineRule="auto"/>
        <w:ind w:left="3402"/>
        <w:jc w:val="both"/>
        <w:rPr>
          <w:rFonts w:ascii="Times New Roman" w:eastAsia="Arial" w:hAnsi="Times New Roman" w:cs="Times New Roman"/>
          <w:color w:val="000000"/>
        </w:rPr>
      </w:pPr>
      <w:r w:rsidRPr="00FC0D7B">
        <w:rPr>
          <w:rFonts w:ascii="Times New Roman" w:eastAsia="Arial" w:hAnsi="Times New Roman" w:cs="Times New Roman"/>
          <w:color w:val="000000"/>
        </w:rPr>
        <w:t>§ 2º Em vias com duas ou mais faixas de circulação no mesmo sentido, deve-se instalar um display para cada faixa, em ambos os lados da via ou em pórtico ou semipórtico sobre a via.</w:t>
      </w:r>
    </w:p>
    <w:p w14:paraId="1637CBAE" w14:textId="77777777" w:rsidR="00E21D08" w:rsidRPr="00FC0D7B" w:rsidRDefault="00E21D08" w:rsidP="00E21D08">
      <w:pPr>
        <w:spacing w:after="0" w:line="360" w:lineRule="auto"/>
        <w:ind w:firstLine="1134"/>
        <w:jc w:val="both"/>
        <w:rPr>
          <w:rFonts w:ascii="Times New Roman" w:eastAsia="Arial" w:hAnsi="Times New Roman" w:cs="Times New Roman"/>
          <w:color w:val="000000"/>
        </w:rPr>
      </w:pPr>
    </w:p>
    <w:p w14:paraId="246EF2A3" w14:textId="1312CC81" w:rsidR="00E21D08" w:rsidRPr="00FC0D7B" w:rsidRDefault="00E21D08" w:rsidP="00AE5B9A">
      <w:pPr>
        <w:spacing w:after="0" w:line="360" w:lineRule="auto"/>
        <w:ind w:firstLine="1134"/>
        <w:jc w:val="both"/>
        <w:rPr>
          <w:rFonts w:ascii="Times New Roman" w:eastAsia="Arial" w:hAnsi="Times New Roman" w:cs="Times New Roman"/>
          <w:b/>
          <w:bCs/>
          <w:color w:val="000000"/>
        </w:rPr>
      </w:pPr>
      <w:r w:rsidRPr="00FC0D7B">
        <w:rPr>
          <w:rFonts w:ascii="Times New Roman" w:eastAsia="Arial" w:hAnsi="Times New Roman" w:cs="Times New Roman"/>
          <w:color w:val="000000"/>
        </w:rPr>
        <w:t xml:space="preserve"> Portanto, </w:t>
      </w:r>
      <w:r w:rsidRPr="00FC0D7B">
        <w:rPr>
          <w:rFonts w:ascii="Times New Roman" w:eastAsia="Arial" w:hAnsi="Times New Roman" w:cs="Times New Roman"/>
          <w:b/>
          <w:bCs/>
          <w:color w:val="000000"/>
        </w:rPr>
        <w:t xml:space="preserve">recomenda-se emenda supressiva ao art. </w:t>
      </w:r>
      <w:r w:rsidR="00471B1A" w:rsidRPr="00FC0D7B">
        <w:rPr>
          <w:rFonts w:ascii="Times New Roman" w:eastAsia="Arial" w:hAnsi="Times New Roman" w:cs="Times New Roman"/>
          <w:b/>
          <w:bCs/>
          <w:color w:val="000000"/>
        </w:rPr>
        <w:t xml:space="preserve">2° do </w:t>
      </w:r>
      <w:r w:rsidR="001C270E">
        <w:rPr>
          <w:rFonts w:ascii="Times New Roman" w:eastAsia="Arial" w:hAnsi="Times New Roman" w:cs="Times New Roman"/>
          <w:b/>
          <w:bCs/>
          <w:color w:val="000000"/>
        </w:rPr>
        <w:t>P</w:t>
      </w:r>
      <w:r w:rsidR="00471B1A" w:rsidRPr="00FC0D7B">
        <w:rPr>
          <w:rFonts w:ascii="Times New Roman" w:eastAsia="Arial" w:hAnsi="Times New Roman" w:cs="Times New Roman"/>
          <w:b/>
          <w:bCs/>
          <w:color w:val="000000"/>
        </w:rPr>
        <w:t>rojeto</w:t>
      </w:r>
      <w:r w:rsidR="001C270E">
        <w:rPr>
          <w:rFonts w:ascii="Times New Roman" w:eastAsia="Arial" w:hAnsi="Times New Roman" w:cs="Times New Roman"/>
          <w:b/>
          <w:bCs/>
          <w:color w:val="000000"/>
        </w:rPr>
        <w:t xml:space="preserve"> de Lei</w:t>
      </w:r>
      <w:r w:rsidR="00471B1A" w:rsidRPr="00FC0D7B">
        <w:rPr>
          <w:rFonts w:ascii="Times New Roman" w:eastAsia="Arial" w:hAnsi="Times New Roman" w:cs="Times New Roman"/>
          <w:b/>
          <w:bCs/>
          <w:color w:val="000000"/>
        </w:rPr>
        <w:t xml:space="preserve">, </w:t>
      </w:r>
      <w:r w:rsidR="00AE5B9A" w:rsidRPr="00FC0D7B">
        <w:rPr>
          <w:rFonts w:ascii="Times New Roman" w:eastAsia="Arial" w:hAnsi="Times New Roman" w:cs="Times New Roman"/>
          <w:b/>
          <w:bCs/>
          <w:color w:val="000000"/>
        </w:rPr>
        <w:t xml:space="preserve">nos termos do art. 164, §2° do Regimento Interno, </w:t>
      </w:r>
      <w:r w:rsidR="00471B1A" w:rsidRPr="00FC0D7B">
        <w:rPr>
          <w:rFonts w:ascii="Times New Roman" w:eastAsia="Arial" w:hAnsi="Times New Roman" w:cs="Times New Roman"/>
          <w:b/>
          <w:bCs/>
          <w:color w:val="000000"/>
        </w:rPr>
        <w:t>por inconstitucionalidade formal em razão da violação da competência privativa da união para legislar sobre trânsito e transportes (22, XI, da CRFB/88)</w:t>
      </w:r>
      <w:r w:rsidR="00AE5B9A" w:rsidRPr="00FC0D7B">
        <w:rPr>
          <w:rFonts w:ascii="Times New Roman" w:eastAsia="Arial" w:hAnsi="Times New Roman" w:cs="Times New Roman"/>
          <w:b/>
          <w:bCs/>
          <w:color w:val="000000"/>
        </w:rPr>
        <w:t xml:space="preserve"> ao caracterizar os tipos de medidores de velocidade</w:t>
      </w:r>
      <w:r w:rsidR="00471B1A" w:rsidRPr="00FC0D7B">
        <w:rPr>
          <w:rFonts w:ascii="Times New Roman" w:eastAsia="Arial" w:hAnsi="Times New Roman" w:cs="Times New Roman"/>
          <w:b/>
          <w:bCs/>
          <w:color w:val="000000"/>
        </w:rPr>
        <w:t>.</w:t>
      </w:r>
    </w:p>
    <w:p w14:paraId="5FBADCD3" w14:textId="77777777" w:rsidR="00C64F13" w:rsidRPr="00FC0D7B" w:rsidRDefault="00C64F13" w:rsidP="00AE5B9A">
      <w:pPr>
        <w:spacing w:after="0" w:line="360" w:lineRule="auto"/>
        <w:ind w:firstLine="1134"/>
        <w:jc w:val="both"/>
        <w:rPr>
          <w:rFonts w:ascii="Times New Roman" w:eastAsia="Arial" w:hAnsi="Times New Roman" w:cs="Times New Roman"/>
          <w:color w:val="000000"/>
        </w:rPr>
      </w:pPr>
    </w:p>
    <w:p w14:paraId="7C886BED" w14:textId="1E67C0E2" w:rsidR="00471B1A" w:rsidRPr="00FC0D7B" w:rsidRDefault="00471B1A" w:rsidP="003B4DB2">
      <w:pPr>
        <w:spacing w:after="0" w:line="360" w:lineRule="auto"/>
        <w:ind w:firstLine="1134"/>
        <w:jc w:val="both"/>
        <w:rPr>
          <w:rFonts w:ascii="Times New Roman" w:hAnsi="Times New Roman" w:cs="Times New Roman"/>
          <w:shd w:val="clear" w:color="auto" w:fill="FFFFFF"/>
        </w:rPr>
      </w:pPr>
      <w:r w:rsidRPr="00FC0D7B">
        <w:rPr>
          <w:rFonts w:ascii="Times New Roman" w:eastAsia="Arial" w:hAnsi="Times New Roman" w:cs="Times New Roman"/>
          <w:color w:val="000000"/>
        </w:rPr>
        <w:t xml:space="preserve">Quanto ao objetivo precípuo do projeto, </w:t>
      </w:r>
      <w:r w:rsidR="00C64F13" w:rsidRPr="00FC0D7B">
        <w:rPr>
          <w:rFonts w:ascii="Times New Roman" w:hAnsi="Times New Roman" w:cs="Times New Roman"/>
          <w:shd w:val="clear" w:color="auto" w:fill="FFFFFF"/>
        </w:rPr>
        <w:t xml:space="preserve">além de não incompatível com a Lei Estadual </w:t>
      </w:r>
      <w:r w:rsidR="00C64F13" w:rsidRPr="00FC0D7B">
        <w:rPr>
          <w:rFonts w:ascii="Times New Roman" w:hAnsi="Times New Roman" w:cs="Times New Roman"/>
        </w:rPr>
        <w:t xml:space="preserve">nº 7.803/2002, que determina a aferição de medidores de velocidade de veículos e dá outras providências, </w:t>
      </w:r>
      <w:r w:rsidRPr="00FC0D7B">
        <w:rPr>
          <w:rFonts w:ascii="Times New Roman" w:eastAsia="Arial" w:hAnsi="Times New Roman" w:cs="Times New Roman"/>
          <w:b/>
          <w:bCs/>
          <w:color w:val="000000"/>
        </w:rPr>
        <w:t>d</w:t>
      </w:r>
      <w:r w:rsidR="00880E47" w:rsidRPr="00FC0D7B">
        <w:rPr>
          <w:rFonts w:ascii="Times New Roman" w:eastAsia="Arial" w:hAnsi="Times New Roman" w:cs="Times New Roman"/>
          <w:b/>
          <w:bCs/>
          <w:color w:val="000000"/>
        </w:rPr>
        <w:t>eve-se esclarecer</w:t>
      </w:r>
      <w:r w:rsidRPr="00FC0D7B">
        <w:rPr>
          <w:rFonts w:ascii="Times New Roman" w:eastAsia="Arial" w:hAnsi="Times New Roman" w:cs="Times New Roman"/>
          <w:b/>
          <w:bCs/>
          <w:color w:val="000000"/>
        </w:rPr>
        <w:t xml:space="preserve"> que a necessidade de publicação de </w:t>
      </w:r>
      <w:r w:rsidRPr="00FC0D7B">
        <w:rPr>
          <w:rFonts w:ascii="Times New Roman" w:eastAsia="Arial" w:hAnsi="Times New Roman" w:cs="Times New Roman"/>
          <w:b/>
          <w:bCs/>
        </w:rPr>
        <w:t xml:space="preserve">locais e trechos a </w:t>
      </w:r>
      <w:r w:rsidRPr="00FC0D7B">
        <w:rPr>
          <w:rFonts w:ascii="Times New Roman" w:hAnsi="Times New Roman" w:cs="Times New Roman"/>
          <w:b/>
          <w:bCs/>
          <w:shd w:val="clear" w:color="auto" w:fill="FFFFFF"/>
        </w:rPr>
        <w:t xml:space="preserve">serem fiscalizados não é incompatível com as diretrizes fixadas no âmbito federal. Pelo contrário, trata-se de medida expressamente prevista </w:t>
      </w:r>
      <w:r w:rsidR="003B4DB2" w:rsidRPr="00FC0D7B">
        <w:rPr>
          <w:rFonts w:ascii="Times New Roman" w:hAnsi="Times New Roman" w:cs="Times New Roman"/>
          <w:b/>
          <w:bCs/>
          <w:shd w:val="clear" w:color="auto" w:fill="FFFFFF"/>
        </w:rPr>
        <w:t xml:space="preserve">nos </w:t>
      </w:r>
      <w:proofErr w:type="spellStart"/>
      <w:proofErr w:type="gramStart"/>
      <w:r w:rsidR="003B4DB2" w:rsidRPr="00FC0D7B">
        <w:rPr>
          <w:rFonts w:ascii="Times New Roman" w:hAnsi="Times New Roman" w:cs="Times New Roman"/>
          <w:b/>
          <w:bCs/>
          <w:shd w:val="clear" w:color="auto" w:fill="FFFFFF"/>
        </w:rPr>
        <w:t>art.s</w:t>
      </w:r>
      <w:proofErr w:type="spellEnd"/>
      <w:proofErr w:type="gramEnd"/>
      <w:r w:rsidR="003B4DB2" w:rsidRPr="00FC0D7B">
        <w:rPr>
          <w:rFonts w:ascii="Times New Roman" w:hAnsi="Times New Roman" w:cs="Times New Roman"/>
          <w:b/>
          <w:bCs/>
          <w:shd w:val="clear" w:color="auto" w:fill="FFFFFF"/>
        </w:rPr>
        <w:t xml:space="preserve"> 7°, §2°, c/c art. 9°, parágrafo único, da Resolução Nº 798/20 – CONTRAN</w:t>
      </w:r>
      <w:r w:rsidR="003B4DB2" w:rsidRPr="00FC0D7B">
        <w:rPr>
          <w:rFonts w:ascii="Times New Roman" w:hAnsi="Times New Roman" w:cs="Times New Roman"/>
          <w:shd w:val="clear" w:color="auto" w:fill="FFFFFF"/>
        </w:rPr>
        <w:t>:</w:t>
      </w:r>
    </w:p>
    <w:p w14:paraId="6F145E41" w14:textId="77777777" w:rsidR="003B4DB2" w:rsidRPr="00FC0D7B" w:rsidRDefault="003B4DB2" w:rsidP="00471B1A">
      <w:pPr>
        <w:spacing w:after="0" w:line="360" w:lineRule="auto"/>
        <w:ind w:firstLine="1134"/>
        <w:jc w:val="both"/>
        <w:rPr>
          <w:rFonts w:ascii="Times New Roman" w:hAnsi="Times New Roman" w:cs="Times New Roman"/>
          <w:b/>
          <w:bCs/>
          <w:shd w:val="clear" w:color="auto" w:fill="FFFFFF"/>
        </w:rPr>
      </w:pPr>
    </w:p>
    <w:p w14:paraId="6A5FEA8D" w14:textId="188B289F" w:rsidR="003B4DB2" w:rsidRPr="00FC0D7B" w:rsidRDefault="003B4DB2" w:rsidP="003B4DB2">
      <w:pPr>
        <w:shd w:val="clear" w:color="auto" w:fill="FFFFFF"/>
        <w:suppressAutoHyphens w:val="0"/>
        <w:spacing w:after="300" w:line="240" w:lineRule="auto"/>
        <w:ind w:left="2835"/>
        <w:jc w:val="both"/>
        <w:textAlignment w:val="baseline"/>
        <w:rPr>
          <w:rFonts w:ascii="Times New Roman" w:eastAsia="Times New Roman" w:hAnsi="Times New Roman" w:cs="Times New Roman"/>
          <w:lang w:eastAsia="pt-BR"/>
        </w:rPr>
      </w:pPr>
      <w:r w:rsidRPr="00FC0D7B">
        <w:rPr>
          <w:rFonts w:ascii="Times New Roman" w:eastAsia="Times New Roman" w:hAnsi="Times New Roman" w:cs="Times New Roman"/>
          <w:lang w:eastAsia="pt-BR"/>
        </w:rPr>
        <w:t>Art. 7º [...]</w:t>
      </w:r>
    </w:p>
    <w:p w14:paraId="4D439CF7" w14:textId="5AC6E5A2" w:rsidR="00471B1A" w:rsidRPr="00FC0D7B" w:rsidRDefault="003B4DB2" w:rsidP="003B4DB2">
      <w:pPr>
        <w:shd w:val="clear" w:color="auto" w:fill="FFFFFF"/>
        <w:suppressAutoHyphens w:val="0"/>
        <w:spacing w:after="300" w:line="240" w:lineRule="auto"/>
        <w:ind w:left="2835"/>
        <w:jc w:val="both"/>
        <w:textAlignment w:val="baseline"/>
        <w:rPr>
          <w:rFonts w:ascii="Times New Roman" w:eastAsia="Times New Roman" w:hAnsi="Times New Roman" w:cs="Times New Roman"/>
          <w:lang w:eastAsia="pt-BR"/>
        </w:rPr>
      </w:pPr>
      <w:r w:rsidRPr="00FC0D7B">
        <w:rPr>
          <w:rFonts w:ascii="Times New Roman" w:eastAsia="Times New Roman" w:hAnsi="Times New Roman" w:cs="Times New Roman"/>
          <w:lang w:eastAsia="pt-BR"/>
        </w:rPr>
        <w:t xml:space="preserve">§ 2º O órgão ou entidade com circunscrição sobre a via deve mapear e </w:t>
      </w:r>
      <w:r w:rsidRPr="00FC0D7B">
        <w:rPr>
          <w:rFonts w:ascii="Times New Roman" w:eastAsia="Times New Roman" w:hAnsi="Times New Roman" w:cs="Times New Roman"/>
          <w:b/>
          <w:bCs/>
          <w:u w:val="single"/>
          <w:lang w:eastAsia="pt-BR"/>
        </w:rPr>
        <w:t xml:space="preserve">publicar em seu site na rede mundial de computadores relação de trechos ou locais em que está apto a ser fiscalizado </w:t>
      </w:r>
      <w:r w:rsidRPr="00FC0D7B">
        <w:rPr>
          <w:rFonts w:ascii="Times New Roman" w:eastAsia="Times New Roman" w:hAnsi="Times New Roman" w:cs="Times New Roman"/>
          <w:lang w:eastAsia="pt-BR"/>
        </w:rPr>
        <w:t xml:space="preserve">o excesso de velocidade por meio de equipamento portátil. </w:t>
      </w:r>
      <w:r w:rsidR="00471B1A" w:rsidRPr="00FC0D7B">
        <w:rPr>
          <w:rFonts w:ascii="Times New Roman" w:hAnsi="Times New Roman" w:cs="Times New Roman"/>
          <w:shd w:val="clear" w:color="auto" w:fill="FFFFFF"/>
        </w:rPr>
        <w:t>[...]</w:t>
      </w:r>
    </w:p>
    <w:p w14:paraId="35E98DD8" w14:textId="4DA6F17D" w:rsidR="00471B1A" w:rsidRPr="00FC0D7B" w:rsidRDefault="00471B1A" w:rsidP="003B4DB2">
      <w:pPr>
        <w:pStyle w:val="NormalWeb"/>
        <w:shd w:val="clear" w:color="auto" w:fill="FFFFFF"/>
        <w:spacing w:beforeAutospacing="0" w:after="0" w:afterAutospacing="0"/>
        <w:ind w:left="2835"/>
        <w:jc w:val="both"/>
        <w:textAlignment w:val="baseline"/>
        <w:rPr>
          <w:sz w:val="22"/>
          <w:szCs w:val="22"/>
          <w:bdr w:val="none" w:sz="0" w:space="0" w:color="auto" w:frame="1"/>
        </w:rPr>
      </w:pPr>
      <w:r w:rsidRPr="00FC0D7B">
        <w:rPr>
          <w:sz w:val="22"/>
          <w:szCs w:val="22"/>
          <w:bdr w:val="none" w:sz="0" w:space="0" w:color="auto" w:frame="1"/>
        </w:rPr>
        <w:t xml:space="preserve">Art. 9º </w:t>
      </w:r>
      <w:r w:rsidR="003B4DB2" w:rsidRPr="00FC0D7B">
        <w:rPr>
          <w:sz w:val="22"/>
          <w:szCs w:val="22"/>
          <w:bdr w:val="none" w:sz="0" w:space="0" w:color="auto" w:frame="1"/>
        </w:rPr>
        <w:t>[...]</w:t>
      </w:r>
    </w:p>
    <w:p w14:paraId="5BF35BCD" w14:textId="77777777" w:rsidR="00471B1A" w:rsidRPr="00FC0D7B" w:rsidRDefault="00471B1A" w:rsidP="003B4DB2">
      <w:pPr>
        <w:pStyle w:val="NormalWeb"/>
        <w:shd w:val="clear" w:color="auto" w:fill="FFFFFF"/>
        <w:spacing w:beforeAutospacing="0" w:after="0" w:afterAutospacing="0"/>
        <w:ind w:left="2835"/>
        <w:jc w:val="both"/>
        <w:textAlignment w:val="baseline"/>
        <w:rPr>
          <w:sz w:val="22"/>
          <w:szCs w:val="22"/>
        </w:rPr>
      </w:pPr>
    </w:p>
    <w:p w14:paraId="2215BA7D" w14:textId="77777777" w:rsidR="00471B1A" w:rsidRPr="00FC0D7B" w:rsidRDefault="00471B1A" w:rsidP="003B4DB2">
      <w:pPr>
        <w:pStyle w:val="NormalWeb"/>
        <w:shd w:val="clear" w:color="auto" w:fill="FFFFFF"/>
        <w:spacing w:beforeAutospacing="0" w:after="0" w:afterAutospacing="0"/>
        <w:ind w:left="2835"/>
        <w:jc w:val="both"/>
        <w:textAlignment w:val="baseline"/>
        <w:rPr>
          <w:sz w:val="22"/>
          <w:szCs w:val="22"/>
        </w:rPr>
      </w:pPr>
      <w:r w:rsidRPr="00FC0D7B">
        <w:rPr>
          <w:sz w:val="22"/>
          <w:szCs w:val="22"/>
          <w:bdr w:val="none" w:sz="0" w:space="0" w:color="auto" w:frame="1"/>
        </w:rPr>
        <w:lastRenderedPageBreak/>
        <w:t xml:space="preserve">Parágrafo único. </w:t>
      </w:r>
      <w:r w:rsidRPr="00FC0D7B">
        <w:rPr>
          <w:b/>
          <w:bCs/>
          <w:sz w:val="22"/>
          <w:szCs w:val="22"/>
          <w:bdr w:val="none" w:sz="0" w:space="0" w:color="auto" w:frame="1"/>
        </w:rPr>
        <w:t>O órgão ou entidade com circunscrição sobre a via deve dar publicidade, por meio do seu site na rede mundial de computadores, antes do início de sua operação, da relação de todos os medidores de velocidade existentes em sua circunscrição,</w:t>
      </w:r>
      <w:r w:rsidRPr="00FC0D7B">
        <w:rPr>
          <w:sz w:val="22"/>
          <w:szCs w:val="22"/>
          <w:bdr w:val="none" w:sz="0" w:space="0" w:color="auto" w:frame="1"/>
        </w:rPr>
        <w:t xml:space="preserve"> contendo o tipo, número de série e a identificação do equipamento estabelecida pelo órgão, </w:t>
      </w:r>
      <w:r w:rsidRPr="00FC0D7B">
        <w:rPr>
          <w:b/>
          <w:bCs/>
          <w:sz w:val="22"/>
          <w:szCs w:val="22"/>
          <w:bdr w:val="none" w:sz="0" w:space="0" w:color="auto" w:frame="1"/>
        </w:rPr>
        <w:t xml:space="preserve">e, no caso do tipo fixo, </w:t>
      </w:r>
      <w:r w:rsidRPr="00FC0D7B">
        <w:rPr>
          <w:b/>
          <w:bCs/>
          <w:sz w:val="22"/>
          <w:szCs w:val="22"/>
          <w:u w:val="single"/>
          <w:bdr w:val="none" w:sz="0" w:space="0" w:color="auto" w:frame="1"/>
        </w:rPr>
        <w:t>também o local de instalação do equipamento.</w:t>
      </w:r>
      <w:r w:rsidRPr="00FC0D7B">
        <w:rPr>
          <w:b/>
          <w:bCs/>
          <w:sz w:val="22"/>
          <w:szCs w:val="22"/>
          <w:bdr w:val="none" w:sz="0" w:space="0" w:color="auto" w:frame="1"/>
        </w:rPr>
        <w:t xml:space="preserve"> </w:t>
      </w:r>
      <w:r w:rsidRPr="00FC0D7B">
        <w:rPr>
          <w:sz w:val="22"/>
          <w:szCs w:val="22"/>
          <w:bdr w:val="none" w:sz="0" w:space="0" w:color="auto" w:frame="1"/>
        </w:rPr>
        <w:t>(Alterado pela Resolução CONTRAN nº 804/20)</w:t>
      </w:r>
    </w:p>
    <w:p w14:paraId="6D37B71C" w14:textId="77777777" w:rsidR="00471B1A" w:rsidRPr="00FC0D7B" w:rsidRDefault="00471B1A" w:rsidP="00471B1A">
      <w:pPr>
        <w:spacing w:after="0" w:line="360" w:lineRule="auto"/>
        <w:ind w:firstLine="1134"/>
        <w:jc w:val="both"/>
        <w:rPr>
          <w:rFonts w:ascii="Times New Roman" w:eastAsia="Arial" w:hAnsi="Times New Roman" w:cs="Times New Roman"/>
          <w:color w:val="000000"/>
        </w:rPr>
      </w:pPr>
    </w:p>
    <w:p w14:paraId="5C87B2A7" w14:textId="6AE3FD4C" w:rsidR="008169EF" w:rsidRPr="00FC0D7B" w:rsidRDefault="003B4DB2" w:rsidP="00471B1A">
      <w:pPr>
        <w:spacing w:after="0" w:line="360" w:lineRule="auto"/>
        <w:ind w:firstLine="1134"/>
        <w:jc w:val="both"/>
        <w:rPr>
          <w:rFonts w:ascii="Times New Roman" w:eastAsia="Arial" w:hAnsi="Times New Roman" w:cs="Times New Roman"/>
          <w:color w:val="000000"/>
        </w:rPr>
      </w:pPr>
      <w:r w:rsidRPr="00FC0D7B">
        <w:rPr>
          <w:rFonts w:ascii="Times New Roman" w:eastAsia="Arial" w:hAnsi="Times New Roman" w:cs="Times New Roman"/>
          <w:color w:val="000000"/>
        </w:rPr>
        <w:t>Portanto, neste ponto, entende-se</w:t>
      </w:r>
      <w:r w:rsidR="00880E47" w:rsidRPr="00FC0D7B">
        <w:rPr>
          <w:rFonts w:ascii="Times New Roman" w:eastAsia="Arial" w:hAnsi="Times New Roman" w:cs="Times New Roman"/>
          <w:color w:val="000000"/>
        </w:rPr>
        <w:t xml:space="preserve"> que </w:t>
      </w:r>
      <w:r w:rsidR="00A20FC2" w:rsidRPr="00FC0D7B">
        <w:rPr>
          <w:rFonts w:ascii="Times New Roman" w:eastAsia="Arial" w:hAnsi="Times New Roman" w:cs="Times New Roman"/>
          <w:color w:val="000000"/>
        </w:rPr>
        <w:t xml:space="preserve">o projeto </w:t>
      </w:r>
      <w:r w:rsidR="00880E47" w:rsidRPr="00FC0D7B">
        <w:rPr>
          <w:rFonts w:ascii="Times New Roman" w:eastAsia="Arial" w:hAnsi="Times New Roman" w:cs="Times New Roman"/>
          <w:color w:val="000000"/>
        </w:rPr>
        <w:t>em questão não trata propriamente sobre trânsito e transporte (matéria cuja competência para legislar é privativa da União).</w:t>
      </w:r>
      <w:r w:rsidR="00A20FC2" w:rsidRPr="00FC0D7B">
        <w:rPr>
          <w:rFonts w:ascii="Times New Roman" w:eastAsia="Arial" w:hAnsi="Times New Roman" w:cs="Times New Roman"/>
          <w:color w:val="000000"/>
        </w:rPr>
        <w:t xml:space="preserve"> Isso porque</w:t>
      </w:r>
      <w:r w:rsidR="00880E47" w:rsidRPr="00FC0D7B">
        <w:rPr>
          <w:rFonts w:ascii="Times New Roman" w:eastAsia="Arial" w:hAnsi="Times New Roman" w:cs="Times New Roman"/>
          <w:color w:val="000000"/>
        </w:rPr>
        <w:t xml:space="preserve"> </w:t>
      </w:r>
      <w:r w:rsidR="00A20FC2" w:rsidRPr="00FC0D7B">
        <w:rPr>
          <w:rFonts w:ascii="Times New Roman" w:eastAsia="Arial" w:hAnsi="Times New Roman" w:cs="Times New Roman"/>
          <w:color w:val="000000"/>
        </w:rPr>
        <w:t>n</w:t>
      </w:r>
      <w:r w:rsidR="002365AA" w:rsidRPr="00FC0D7B">
        <w:rPr>
          <w:rFonts w:ascii="Times New Roman" w:eastAsia="Arial" w:hAnsi="Times New Roman" w:cs="Times New Roman"/>
          <w:color w:val="000000"/>
        </w:rPr>
        <w:t xml:space="preserve">ão </w:t>
      </w:r>
      <w:r w:rsidR="008169EF" w:rsidRPr="00FC0D7B">
        <w:rPr>
          <w:rFonts w:ascii="Times New Roman" w:eastAsia="Arial" w:hAnsi="Times New Roman" w:cs="Times New Roman"/>
          <w:color w:val="000000"/>
        </w:rPr>
        <w:t xml:space="preserve">disciplina penalidades (ADI 3.269), não disciplina e emissão de Certificado de Registro Veicular – CRV (ADI 5.916), cancelamento de multas (ADI 2.137), </w:t>
      </w:r>
      <w:r w:rsidR="002365AA" w:rsidRPr="00FC0D7B">
        <w:rPr>
          <w:rFonts w:ascii="Times New Roman" w:eastAsia="Arial" w:hAnsi="Times New Roman" w:cs="Times New Roman"/>
          <w:color w:val="000000"/>
        </w:rPr>
        <w:t>não estabelece limites de velocidade</w:t>
      </w:r>
      <w:r w:rsidR="00A20FC2" w:rsidRPr="00FC0D7B">
        <w:rPr>
          <w:rFonts w:ascii="Times New Roman" w:eastAsia="Arial" w:hAnsi="Times New Roman" w:cs="Times New Roman"/>
          <w:color w:val="000000"/>
        </w:rPr>
        <w:t xml:space="preserve"> </w:t>
      </w:r>
      <w:r w:rsidR="008169EF" w:rsidRPr="00FC0D7B">
        <w:rPr>
          <w:rFonts w:ascii="Times New Roman" w:eastAsia="Arial" w:hAnsi="Times New Roman" w:cs="Times New Roman"/>
          <w:color w:val="000000"/>
        </w:rPr>
        <w:t>(ADI 2.718), dentre outras circunstâncias realmente afetas a trânsito e transportes.</w:t>
      </w:r>
    </w:p>
    <w:p w14:paraId="77F856EB" w14:textId="7A1F0F54" w:rsidR="008842D5" w:rsidRPr="00FC0D7B" w:rsidRDefault="008169EF" w:rsidP="00A20FC2">
      <w:pPr>
        <w:spacing w:after="0" w:line="360" w:lineRule="auto"/>
        <w:ind w:firstLine="1134"/>
        <w:jc w:val="both"/>
        <w:rPr>
          <w:rFonts w:ascii="Times New Roman" w:hAnsi="Times New Roman" w:cs="Times New Roman"/>
        </w:rPr>
      </w:pPr>
      <w:r w:rsidRPr="00FC0D7B">
        <w:rPr>
          <w:rFonts w:ascii="Times New Roman" w:eastAsia="Arial" w:hAnsi="Times New Roman" w:cs="Times New Roman"/>
          <w:color w:val="000000"/>
        </w:rPr>
        <w:t>E</w:t>
      </w:r>
      <w:r w:rsidR="008842D5" w:rsidRPr="00FC0D7B">
        <w:rPr>
          <w:rFonts w:ascii="Times New Roman" w:eastAsia="Arial" w:hAnsi="Times New Roman" w:cs="Times New Roman"/>
          <w:color w:val="000000"/>
        </w:rPr>
        <w:t>ntende-se que o</w:t>
      </w:r>
      <w:r w:rsidR="00A20FC2" w:rsidRPr="00FC0D7B">
        <w:rPr>
          <w:rFonts w:ascii="Times New Roman" w:eastAsia="Arial" w:hAnsi="Times New Roman" w:cs="Times New Roman"/>
          <w:color w:val="000000"/>
        </w:rPr>
        <w:t xml:space="preserve"> projeto t</w:t>
      </w:r>
      <w:r w:rsidR="002365AA" w:rsidRPr="00FC0D7B">
        <w:rPr>
          <w:rFonts w:ascii="Times New Roman" w:eastAsia="Arial" w:hAnsi="Times New Roman" w:cs="Times New Roman"/>
          <w:color w:val="000000"/>
        </w:rPr>
        <w:t xml:space="preserve">rata, na verdade, sobre regras que concretizam princípios de publicidade e transparência </w:t>
      </w:r>
      <w:r w:rsidR="00C64F13" w:rsidRPr="00FC0D7B">
        <w:rPr>
          <w:rFonts w:ascii="Times New Roman" w:eastAsia="Arial" w:hAnsi="Times New Roman" w:cs="Times New Roman"/>
          <w:color w:val="000000"/>
        </w:rPr>
        <w:t>e se direciona</w:t>
      </w:r>
      <w:r w:rsidR="002365AA" w:rsidRPr="00FC0D7B">
        <w:rPr>
          <w:rFonts w:ascii="Times New Roman" w:eastAsia="Arial" w:hAnsi="Times New Roman" w:cs="Times New Roman"/>
          <w:color w:val="000000"/>
        </w:rPr>
        <w:t xml:space="preserve"> à administração pública (conforme </w:t>
      </w:r>
      <w:r w:rsidR="00C64F13" w:rsidRPr="00FC0D7B">
        <w:rPr>
          <w:rFonts w:ascii="Times New Roman" w:eastAsia="Arial" w:hAnsi="Times New Roman" w:cs="Times New Roman"/>
          <w:color w:val="000000"/>
        </w:rPr>
        <w:t>regras já aplicáveis pel</w:t>
      </w:r>
      <w:r w:rsidR="002365AA" w:rsidRPr="00FC0D7B">
        <w:rPr>
          <w:rFonts w:ascii="Times New Roman" w:eastAsia="Arial" w:hAnsi="Times New Roman" w:cs="Times New Roman"/>
          <w:color w:val="000000"/>
        </w:rPr>
        <w:t>o art. 37,</w:t>
      </w:r>
      <w:r w:rsidR="00880E47" w:rsidRPr="00FC0D7B">
        <w:rPr>
          <w:rFonts w:ascii="Times New Roman" w:eastAsia="Arial" w:hAnsi="Times New Roman" w:cs="Times New Roman"/>
          <w:color w:val="000000"/>
        </w:rPr>
        <w:t xml:space="preserve"> </w:t>
      </w:r>
      <w:r w:rsidR="002365AA" w:rsidRPr="00FC0D7B">
        <w:rPr>
          <w:rFonts w:ascii="Times New Roman" w:eastAsia="Arial" w:hAnsi="Times New Roman" w:cs="Times New Roman"/>
          <w:color w:val="000000"/>
        </w:rPr>
        <w:t>caput, da CRFB/88)</w:t>
      </w:r>
      <w:r w:rsidR="008842D5" w:rsidRPr="00FC0D7B">
        <w:rPr>
          <w:rFonts w:ascii="Times New Roman" w:eastAsia="Arial" w:hAnsi="Times New Roman" w:cs="Times New Roman"/>
          <w:color w:val="000000"/>
        </w:rPr>
        <w:t xml:space="preserve">, ao estabelecer a necessidade de divulgação </w:t>
      </w:r>
      <w:r w:rsidR="008842D5" w:rsidRPr="00FC0D7B">
        <w:rPr>
          <w:rFonts w:ascii="Times New Roman" w:hAnsi="Times New Roman" w:cs="Times New Roman"/>
        </w:rPr>
        <w:t xml:space="preserve">a localização </w:t>
      </w:r>
      <w:r w:rsidR="003B1B2A" w:rsidRPr="00FC0D7B">
        <w:rPr>
          <w:rFonts w:ascii="Times New Roman" w:hAnsi="Times New Roman" w:cs="Times New Roman"/>
        </w:rPr>
        <w:t>de radares de fiscalização e os respectivos limites de velocidade.</w:t>
      </w:r>
    </w:p>
    <w:p w14:paraId="07C3D65E" w14:textId="2A6FB291" w:rsidR="0082256D" w:rsidRPr="00FC0D7B" w:rsidRDefault="0082256D" w:rsidP="00AE5B9A">
      <w:pPr>
        <w:spacing w:line="360" w:lineRule="auto"/>
        <w:ind w:firstLine="1134"/>
        <w:jc w:val="both"/>
        <w:rPr>
          <w:rFonts w:ascii="Times New Roman" w:hAnsi="Times New Roman" w:cs="Times New Roman"/>
        </w:rPr>
      </w:pPr>
      <w:r w:rsidRPr="00FC0D7B">
        <w:rPr>
          <w:rFonts w:ascii="Times New Roman" w:hAnsi="Times New Roman" w:cs="Times New Roman"/>
        </w:rPr>
        <w:t>Conforme a Suprema Corte (Representação nº 1.153-4/RS, voto do Min. Moreira Alves), os Estados "</w:t>
      </w:r>
      <w:r w:rsidRPr="00FC0D7B">
        <w:rPr>
          <w:rFonts w:ascii="Times New Roman" w:hAnsi="Times New Roman" w:cs="Times New Roman"/>
          <w:i/>
          <w:iCs/>
        </w:rPr>
        <w:t>podem legislar sobre as matérias que não estão reservadas à União e que não digam respeito à administração própria dos Municípios, no que concerne ao seu peculiar interesse</w:t>
      </w:r>
      <w:r w:rsidRPr="00FC0D7B">
        <w:rPr>
          <w:rFonts w:ascii="Times New Roman" w:hAnsi="Times New Roman" w:cs="Times New Roman"/>
        </w:rPr>
        <w:t xml:space="preserve">". Assim, quanto à constitucionalidade formal orgânica, a proposição encontra amparo no art. 25, §1º, da CRFB/88, que confere aos Estados a competência legislativa residual (também denominada remanescente ou reservada), </w:t>
      </w:r>
      <w:r w:rsidRPr="00FC0D7B">
        <w:rPr>
          <w:rFonts w:ascii="Times New Roman" w:hAnsi="Times New Roman" w:cs="Times New Roman"/>
          <w:i/>
          <w:iCs/>
        </w:rPr>
        <w:t xml:space="preserve">ipsis </w:t>
      </w:r>
      <w:proofErr w:type="spellStart"/>
      <w:r w:rsidRPr="00FC0D7B">
        <w:rPr>
          <w:rFonts w:ascii="Times New Roman" w:hAnsi="Times New Roman" w:cs="Times New Roman"/>
          <w:i/>
          <w:iCs/>
        </w:rPr>
        <w:t>verbis</w:t>
      </w:r>
      <w:proofErr w:type="spellEnd"/>
      <w:r w:rsidRPr="00FC0D7B">
        <w:rPr>
          <w:rFonts w:ascii="Times New Roman" w:hAnsi="Times New Roman" w:cs="Times New Roman"/>
        </w:rPr>
        <w:t xml:space="preserve">:  </w:t>
      </w:r>
    </w:p>
    <w:p w14:paraId="7F0389F2" w14:textId="77777777" w:rsidR="0082256D" w:rsidRPr="00FC0D7B" w:rsidRDefault="0082256D" w:rsidP="00AE5B9A">
      <w:pPr>
        <w:pStyle w:val="Corpodetexto"/>
        <w:ind w:left="2832"/>
        <w:rPr>
          <w:sz w:val="22"/>
          <w:szCs w:val="22"/>
        </w:rPr>
      </w:pPr>
      <w:r w:rsidRPr="00FC0D7B">
        <w:rPr>
          <w:rFonts w:eastAsia="Arial"/>
          <w:color w:val="000000"/>
          <w:sz w:val="22"/>
          <w:szCs w:val="22"/>
        </w:rPr>
        <w:t>Art. 25. Os Estados organizam-se e regem-se pelas Constituições e leis que adotarem, observados os princípios desta Constituição.</w:t>
      </w:r>
    </w:p>
    <w:p w14:paraId="76188BB0" w14:textId="6BB4C2C1" w:rsidR="004137DE" w:rsidRPr="00FC0D7B" w:rsidRDefault="0082256D" w:rsidP="00AE5B9A">
      <w:pPr>
        <w:pStyle w:val="Corpodetexto"/>
        <w:spacing w:after="57"/>
        <w:ind w:left="2832"/>
        <w:rPr>
          <w:sz w:val="22"/>
          <w:szCs w:val="22"/>
        </w:rPr>
      </w:pPr>
      <w:r w:rsidRPr="00FC0D7B">
        <w:rPr>
          <w:rFonts w:eastAsia="Arial"/>
          <w:color w:val="000000"/>
          <w:sz w:val="22"/>
          <w:szCs w:val="22"/>
        </w:rPr>
        <w:t>§</w:t>
      </w:r>
      <w:r w:rsidRPr="00FC0D7B">
        <w:rPr>
          <w:sz w:val="22"/>
          <w:szCs w:val="22"/>
        </w:rPr>
        <w:t xml:space="preserve"> 1º São reservadas aos Estados as competências que não lhes sejam vedadas por esta Constituição.</w:t>
      </w:r>
    </w:p>
    <w:p w14:paraId="49F24377" w14:textId="77777777" w:rsidR="00AE5B9A" w:rsidRPr="00FC0D7B" w:rsidRDefault="00AE5B9A" w:rsidP="00AE5B9A">
      <w:pPr>
        <w:pStyle w:val="Corpodetexto"/>
        <w:spacing w:after="57"/>
        <w:ind w:left="2832"/>
        <w:rPr>
          <w:sz w:val="22"/>
          <w:szCs w:val="22"/>
        </w:rPr>
      </w:pPr>
    </w:p>
    <w:p w14:paraId="4F1AAE65" w14:textId="77777777" w:rsidR="00C64F13" w:rsidRPr="00FC0D7B" w:rsidRDefault="00C64F13" w:rsidP="00C64F13">
      <w:pPr>
        <w:spacing w:after="0" w:line="360" w:lineRule="auto"/>
        <w:ind w:firstLine="1134"/>
        <w:jc w:val="both"/>
        <w:rPr>
          <w:rFonts w:ascii="Times New Roman" w:hAnsi="Times New Roman" w:cs="Times New Roman"/>
        </w:rPr>
      </w:pPr>
      <w:r w:rsidRPr="00FC0D7B">
        <w:rPr>
          <w:rFonts w:ascii="Times New Roman" w:hAnsi="Times New Roman" w:cs="Times New Roman"/>
          <w:color w:val="000000"/>
        </w:rPr>
        <w:t xml:space="preserve">Ademais, examinando-se a constitucionalidade formal, sob o aspecto subjetivo, há que se destacar que a matéria não se situa entre as hipóteses de iniciativa reservada, circunstância que habilita a deflagração do processo legislativo por iniciativa parlamentar, considerado o rol de natureza taxativa (art. </w:t>
      </w:r>
      <w:r w:rsidRPr="00FC0D7B">
        <w:rPr>
          <w:rFonts w:ascii="Times New Roman" w:hAnsi="Times New Roman" w:cs="Times New Roman"/>
        </w:rPr>
        <w:t>43 da CE/MA c/c art. 61 da</w:t>
      </w:r>
      <w:r w:rsidRPr="00FC0D7B">
        <w:rPr>
          <w:rFonts w:ascii="Times New Roman" w:hAnsi="Times New Roman" w:cs="Times New Roman"/>
          <w:color w:val="000000"/>
        </w:rPr>
        <w:t xml:space="preserve"> CRFB/88).</w:t>
      </w:r>
    </w:p>
    <w:p w14:paraId="44E653CE" w14:textId="77777777" w:rsidR="001C270E" w:rsidRDefault="001C270E" w:rsidP="00AE5B9A">
      <w:pPr>
        <w:pStyle w:val="Corpodetexto"/>
        <w:spacing w:after="57" w:line="360" w:lineRule="auto"/>
        <w:ind w:firstLine="1134"/>
        <w:rPr>
          <w:sz w:val="22"/>
          <w:szCs w:val="22"/>
          <w:lang w:val="pt-BR"/>
        </w:rPr>
      </w:pPr>
    </w:p>
    <w:p w14:paraId="02DC547B" w14:textId="533C21B7" w:rsidR="003B4DB2" w:rsidRPr="00FC0D7B" w:rsidRDefault="003B4DB2" w:rsidP="00AE5B9A">
      <w:pPr>
        <w:pStyle w:val="Corpodetexto"/>
        <w:spacing w:after="57" w:line="360" w:lineRule="auto"/>
        <w:ind w:firstLine="1134"/>
        <w:rPr>
          <w:sz w:val="22"/>
          <w:szCs w:val="22"/>
          <w:lang w:val="pt-BR"/>
        </w:rPr>
      </w:pPr>
      <w:r w:rsidRPr="00FC0D7B">
        <w:rPr>
          <w:sz w:val="22"/>
          <w:szCs w:val="22"/>
          <w:lang w:val="pt-BR"/>
        </w:rPr>
        <w:lastRenderedPageBreak/>
        <w:t>Oportuno destacar ainda que outras Assembleias Legislativas já vêm disciplinando a temática através de leis ordinárias</w:t>
      </w:r>
      <w:r w:rsidR="00AE5B9A" w:rsidRPr="00FC0D7B">
        <w:rPr>
          <w:sz w:val="22"/>
          <w:szCs w:val="22"/>
          <w:lang w:val="pt-BR"/>
        </w:rPr>
        <w:t xml:space="preserve"> estaduais</w:t>
      </w:r>
      <w:r w:rsidRPr="00FC0D7B">
        <w:rPr>
          <w:sz w:val="22"/>
          <w:szCs w:val="22"/>
          <w:lang w:val="pt-BR"/>
        </w:rPr>
        <w:t xml:space="preserve">, sem que haja, até o momento, a declaração de inconstitucionalidade </w:t>
      </w:r>
      <w:r w:rsidR="00AE5B9A" w:rsidRPr="00FC0D7B">
        <w:rPr>
          <w:sz w:val="22"/>
          <w:szCs w:val="22"/>
          <w:lang w:val="pt-BR"/>
        </w:rPr>
        <w:t>em sede de controle concentrado no âmbito do</w:t>
      </w:r>
      <w:r w:rsidRPr="00FC0D7B">
        <w:rPr>
          <w:sz w:val="22"/>
          <w:szCs w:val="22"/>
          <w:lang w:val="pt-BR"/>
        </w:rPr>
        <w:t xml:space="preserve"> Supremo Tribunal Federal</w:t>
      </w:r>
      <w:r w:rsidR="00AE5B9A" w:rsidRPr="00FC0D7B">
        <w:rPr>
          <w:sz w:val="22"/>
          <w:szCs w:val="22"/>
          <w:lang w:val="pt-BR"/>
        </w:rPr>
        <w:t xml:space="preserve">. Menciona-se, como </w:t>
      </w:r>
      <w:r w:rsidRPr="00FC0D7B">
        <w:rPr>
          <w:sz w:val="22"/>
          <w:szCs w:val="22"/>
          <w:lang w:val="pt-BR"/>
        </w:rPr>
        <w:t>exemplo</w:t>
      </w:r>
      <w:r w:rsidR="00AE5B9A" w:rsidRPr="00FC0D7B">
        <w:rPr>
          <w:sz w:val="22"/>
          <w:szCs w:val="22"/>
          <w:lang w:val="pt-BR"/>
        </w:rPr>
        <w:t>, a</w:t>
      </w:r>
      <w:r w:rsidRPr="00FC0D7B">
        <w:rPr>
          <w:sz w:val="22"/>
          <w:szCs w:val="22"/>
          <w:lang w:val="pt-BR"/>
        </w:rPr>
        <w:t xml:space="preserve"> L</w:t>
      </w:r>
      <w:r w:rsidR="00AE5B9A" w:rsidRPr="00FC0D7B">
        <w:rPr>
          <w:sz w:val="22"/>
          <w:szCs w:val="22"/>
          <w:lang w:val="pt-BR"/>
        </w:rPr>
        <w:t>ei</w:t>
      </w:r>
      <w:r w:rsidRPr="00FC0D7B">
        <w:rPr>
          <w:sz w:val="22"/>
          <w:szCs w:val="22"/>
          <w:lang w:val="pt-BR"/>
        </w:rPr>
        <w:t xml:space="preserve"> Nº 17.294</w:t>
      </w:r>
      <w:r w:rsidR="00AE5B9A" w:rsidRPr="00FC0D7B">
        <w:rPr>
          <w:sz w:val="22"/>
          <w:szCs w:val="22"/>
          <w:lang w:val="pt-BR"/>
        </w:rPr>
        <w:t xml:space="preserve">/2020, do Estado de </w:t>
      </w:r>
      <w:r w:rsidRPr="00FC0D7B">
        <w:rPr>
          <w:sz w:val="22"/>
          <w:szCs w:val="22"/>
          <w:lang w:val="pt-BR"/>
        </w:rPr>
        <w:t>São Paulo</w:t>
      </w:r>
      <w:r w:rsidR="00AE5B9A" w:rsidRPr="00FC0D7B">
        <w:rPr>
          <w:sz w:val="22"/>
          <w:szCs w:val="22"/>
          <w:lang w:val="pt-BR"/>
        </w:rPr>
        <w:t>.</w:t>
      </w:r>
    </w:p>
    <w:p w14:paraId="38E0BA70" w14:textId="3F28FA5B" w:rsidR="00AE5B9A" w:rsidRPr="00FC0D7B" w:rsidRDefault="00AE5B9A" w:rsidP="00AE5B9A">
      <w:pPr>
        <w:spacing w:after="0" w:line="360" w:lineRule="auto"/>
        <w:ind w:firstLine="1134"/>
        <w:jc w:val="both"/>
        <w:rPr>
          <w:rFonts w:ascii="Times New Roman" w:hAnsi="Times New Roman" w:cs="Times New Roman"/>
          <w:color w:val="000000"/>
        </w:rPr>
      </w:pPr>
      <w:r w:rsidRPr="00FC0D7B">
        <w:rPr>
          <w:rFonts w:ascii="Times New Roman" w:eastAsia="Times New Roman" w:hAnsi="Times New Roman" w:cs="Times New Roman"/>
          <w:color w:val="000000"/>
          <w:lang w:eastAsia="pt-BR"/>
        </w:rPr>
        <w:t xml:space="preserve">Portanto, e no que cabe a esta consultoria opinar, manifesta-se pela </w:t>
      </w:r>
      <w:r w:rsidRPr="00FC0D7B">
        <w:rPr>
          <w:rFonts w:ascii="Times New Roman" w:eastAsia="Times New Roman" w:hAnsi="Times New Roman" w:cs="Times New Roman"/>
          <w:b/>
          <w:bCs/>
          <w:color w:val="000000"/>
          <w:lang w:eastAsia="pt-BR"/>
        </w:rPr>
        <w:t xml:space="preserve">aprovação com emendas ao projeto (emenda supressiva ao art. 2°). </w:t>
      </w:r>
      <w:r w:rsidRPr="00FC0D7B">
        <w:rPr>
          <w:rFonts w:ascii="Times New Roman" w:hAnsi="Times New Roman" w:cs="Times New Roman"/>
        </w:rPr>
        <w:t xml:space="preserve">Realizadas as adequações propostas, não são visualizados vícios materiais ou formais aptos a invalidar a atividade legiferante para disciplinar a temática </w:t>
      </w:r>
      <w:r w:rsidRPr="00FC0D7B">
        <w:rPr>
          <w:rFonts w:ascii="Times New Roman" w:hAnsi="Times New Roman" w:cs="Times New Roman"/>
          <w:i/>
          <w:iCs/>
        </w:rPr>
        <w:t xml:space="preserve">in </w:t>
      </w:r>
      <w:proofErr w:type="spellStart"/>
      <w:r w:rsidRPr="00FC0D7B">
        <w:rPr>
          <w:rFonts w:ascii="Times New Roman" w:hAnsi="Times New Roman" w:cs="Times New Roman"/>
          <w:i/>
          <w:iCs/>
        </w:rPr>
        <w:t>casu</w:t>
      </w:r>
      <w:proofErr w:type="spellEnd"/>
      <w:r w:rsidRPr="00FC0D7B">
        <w:rPr>
          <w:rFonts w:ascii="Times New Roman" w:hAnsi="Times New Roman" w:cs="Times New Roman"/>
          <w:i/>
          <w:iCs/>
        </w:rPr>
        <w:t xml:space="preserve">, </w:t>
      </w:r>
      <w:r w:rsidRPr="00FC0D7B">
        <w:rPr>
          <w:rFonts w:ascii="Times New Roman" w:hAnsi="Times New Roman" w:cs="Times New Roman"/>
        </w:rPr>
        <w:t>que</w:t>
      </w:r>
      <w:r w:rsidRPr="00FC0D7B">
        <w:rPr>
          <w:rFonts w:ascii="Times New Roman" w:hAnsi="Times New Roman" w:cs="Times New Roman"/>
          <w:i/>
          <w:iCs/>
        </w:rPr>
        <w:t xml:space="preserve"> </w:t>
      </w:r>
      <w:r w:rsidRPr="00FC0D7B">
        <w:rPr>
          <w:rFonts w:ascii="Times New Roman" w:hAnsi="Times New Roman" w:cs="Times New Roman"/>
        </w:rPr>
        <w:t>não ultraja parâmetros, valores ou princípios constitucionais. Situa-se, assim, dentro do amplo espaço de conformação legislativa, garantindo a sua validade e legitimidade no ordenamento jurídico brasileiro.</w:t>
      </w:r>
    </w:p>
    <w:p w14:paraId="025D9E6F" w14:textId="77777777" w:rsidR="00FC0D7B" w:rsidRPr="00FC0D7B" w:rsidRDefault="00FC0D7B" w:rsidP="00FC0D7B">
      <w:pPr>
        <w:jc w:val="both"/>
        <w:rPr>
          <w:rFonts w:ascii="Times New Roman" w:hAnsi="Times New Roman" w:cs="Times New Roman"/>
          <w:b/>
          <w:u w:val="single"/>
        </w:rPr>
      </w:pPr>
      <w:r w:rsidRPr="00FC0D7B">
        <w:rPr>
          <w:rFonts w:ascii="Times New Roman" w:hAnsi="Times New Roman" w:cs="Times New Roman"/>
          <w:b/>
          <w:u w:val="single"/>
        </w:rPr>
        <w:t>VOTO DO RELATOR:</w:t>
      </w:r>
    </w:p>
    <w:p w14:paraId="6500731C" w14:textId="08C9CD93" w:rsidR="00AE5B9A" w:rsidRPr="00FC0D7B" w:rsidRDefault="00FC0D7B" w:rsidP="00AE5B9A">
      <w:pPr>
        <w:spacing w:line="360" w:lineRule="auto"/>
        <w:ind w:firstLine="1134"/>
        <w:jc w:val="both"/>
        <w:rPr>
          <w:rFonts w:ascii="Times New Roman" w:hAnsi="Times New Roman" w:cs="Times New Roman"/>
        </w:rPr>
      </w:pPr>
      <w:r w:rsidRPr="00FC0D7B">
        <w:rPr>
          <w:rFonts w:ascii="Times New Roman" w:hAnsi="Times New Roman" w:cs="Times New Roman"/>
        </w:rPr>
        <w:t xml:space="preserve">Diante do exposto, e pela fundamentação supramencionada, opinamos pela </w:t>
      </w:r>
      <w:r w:rsidR="00AE5B9A" w:rsidRPr="00FC0D7B">
        <w:rPr>
          <w:rFonts w:ascii="Times New Roman" w:eastAsia="Times New Roman" w:hAnsi="Times New Roman" w:cs="Times New Roman"/>
          <w:b/>
          <w:bCs/>
          <w:color w:val="000000"/>
          <w:lang w:eastAsia="pt-BR"/>
        </w:rPr>
        <w:t>aprovação</w:t>
      </w:r>
      <w:r w:rsidRPr="00FC0D7B">
        <w:rPr>
          <w:rFonts w:ascii="Times New Roman" w:eastAsia="Times New Roman" w:hAnsi="Times New Roman" w:cs="Times New Roman"/>
          <w:b/>
          <w:bCs/>
          <w:color w:val="000000"/>
          <w:lang w:eastAsia="pt-BR"/>
        </w:rPr>
        <w:t xml:space="preserve"> do Projeto de Lei nº 446/2024</w:t>
      </w:r>
      <w:r w:rsidR="001C270E">
        <w:rPr>
          <w:rFonts w:ascii="Times New Roman" w:eastAsia="Times New Roman" w:hAnsi="Times New Roman" w:cs="Times New Roman"/>
          <w:b/>
          <w:bCs/>
          <w:color w:val="000000"/>
          <w:lang w:eastAsia="pt-BR"/>
        </w:rPr>
        <w:t>,</w:t>
      </w:r>
      <w:r w:rsidR="00AE5B9A" w:rsidRPr="00FC0D7B">
        <w:rPr>
          <w:rFonts w:ascii="Times New Roman" w:eastAsia="Times New Roman" w:hAnsi="Times New Roman" w:cs="Times New Roman"/>
          <w:b/>
          <w:bCs/>
          <w:color w:val="000000"/>
          <w:lang w:eastAsia="pt-BR"/>
        </w:rPr>
        <w:t xml:space="preserve"> com emenda supressiva ao art. 2°.</w:t>
      </w:r>
      <w:r w:rsidRPr="00FC0D7B">
        <w:rPr>
          <w:rFonts w:ascii="Times New Roman" w:hAnsi="Times New Roman" w:cs="Times New Roman"/>
        </w:rPr>
        <w:tab/>
        <w:t xml:space="preserve">    </w:t>
      </w:r>
    </w:p>
    <w:p w14:paraId="3937AF53" w14:textId="6FDC854A" w:rsidR="00FC0D7B" w:rsidRPr="00FC0D7B" w:rsidRDefault="00FC0D7B" w:rsidP="00AE5B9A">
      <w:pPr>
        <w:spacing w:line="360" w:lineRule="auto"/>
        <w:ind w:firstLine="1134"/>
        <w:jc w:val="both"/>
        <w:rPr>
          <w:rFonts w:ascii="Times New Roman" w:hAnsi="Times New Roman" w:cs="Times New Roman"/>
        </w:rPr>
      </w:pPr>
      <w:r w:rsidRPr="00FC0D7B">
        <w:rPr>
          <w:rFonts w:ascii="Times New Roman" w:hAnsi="Times New Roman" w:cs="Times New Roman"/>
        </w:rPr>
        <w:t>É o voto.</w:t>
      </w:r>
    </w:p>
    <w:p w14:paraId="1E4E3F7C" w14:textId="77777777" w:rsidR="00FC0D7B" w:rsidRPr="00FC0D7B" w:rsidRDefault="00FC0D7B" w:rsidP="00FC0D7B">
      <w:pPr>
        <w:spacing w:after="0" w:line="240" w:lineRule="auto"/>
        <w:ind w:left="-360" w:right="191" w:firstLine="180"/>
        <w:jc w:val="both"/>
        <w:rPr>
          <w:rFonts w:ascii="Times New Roman" w:eastAsia="Times New Roman" w:hAnsi="Times New Roman" w:cs="Times New Roman"/>
          <w:b/>
          <w:lang w:eastAsia="pt-BR"/>
        </w:rPr>
      </w:pPr>
      <w:r w:rsidRPr="00FC0D7B">
        <w:rPr>
          <w:rFonts w:ascii="Times New Roman" w:eastAsia="Times New Roman" w:hAnsi="Times New Roman" w:cs="Times New Roman"/>
          <w:b/>
          <w:u w:val="single"/>
          <w:lang w:eastAsia="pt-BR"/>
        </w:rPr>
        <w:t>PARECER DA COMISSÃO</w:t>
      </w:r>
      <w:r w:rsidRPr="00FC0D7B">
        <w:rPr>
          <w:rFonts w:ascii="Times New Roman" w:eastAsia="Times New Roman" w:hAnsi="Times New Roman" w:cs="Times New Roman"/>
          <w:b/>
          <w:lang w:eastAsia="pt-BR"/>
        </w:rPr>
        <w:t>:</w:t>
      </w:r>
    </w:p>
    <w:p w14:paraId="3AE64992" w14:textId="32C45011" w:rsidR="00FC0D7B" w:rsidRPr="00FC0D7B" w:rsidRDefault="00FC0D7B" w:rsidP="00FC0D7B">
      <w:pPr>
        <w:keepNext/>
        <w:spacing w:before="240" w:after="60" w:line="360" w:lineRule="auto"/>
        <w:ind w:firstLine="1134"/>
        <w:jc w:val="both"/>
        <w:outlineLvl w:val="0"/>
        <w:rPr>
          <w:rFonts w:ascii="Times New Roman" w:eastAsia="Times New Roman" w:hAnsi="Times New Roman" w:cs="Times New Roman"/>
          <w:b/>
          <w:bCs/>
          <w:kern w:val="32"/>
          <w:lang w:eastAsia="pt-BR"/>
        </w:rPr>
      </w:pPr>
      <w:r w:rsidRPr="00FC0D7B">
        <w:rPr>
          <w:rFonts w:ascii="Times New Roman" w:eastAsia="Times New Roman" w:hAnsi="Times New Roman" w:cs="Times New Roman"/>
          <w:bCs/>
          <w:kern w:val="32"/>
          <w:lang w:eastAsia="pt-BR"/>
        </w:rPr>
        <w:t xml:space="preserve">Os membros da Comissão de Constituição, Justiça e Cidadania votam pela </w:t>
      </w:r>
      <w:r w:rsidRPr="00FC0D7B">
        <w:rPr>
          <w:rFonts w:ascii="Times New Roman" w:eastAsia="Times New Roman" w:hAnsi="Times New Roman" w:cs="Times New Roman"/>
          <w:b/>
          <w:kern w:val="32"/>
          <w:lang w:eastAsia="pt-BR"/>
        </w:rPr>
        <w:t>APROVAÇÃO d</w:t>
      </w:r>
      <w:r>
        <w:rPr>
          <w:rFonts w:ascii="Times New Roman" w:eastAsia="Times New Roman" w:hAnsi="Times New Roman" w:cs="Times New Roman"/>
          <w:b/>
          <w:kern w:val="32"/>
          <w:lang w:eastAsia="pt-BR"/>
        </w:rPr>
        <w:t xml:space="preserve">o Projeto de Lei </w:t>
      </w:r>
      <w:r w:rsidRPr="00FC0D7B">
        <w:rPr>
          <w:rFonts w:ascii="Times New Roman" w:eastAsia="Times New Roman" w:hAnsi="Times New Roman" w:cs="Times New Roman"/>
          <w:b/>
          <w:kern w:val="32"/>
          <w:lang w:eastAsia="pt-BR"/>
        </w:rPr>
        <w:t>nº 4</w:t>
      </w:r>
      <w:r>
        <w:rPr>
          <w:rFonts w:ascii="Times New Roman" w:eastAsia="Times New Roman" w:hAnsi="Times New Roman" w:cs="Times New Roman"/>
          <w:b/>
          <w:kern w:val="32"/>
          <w:lang w:eastAsia="pt-BR"/>
        </w:rPr>
        <w:t>46</w:t>
      </w:r>
      <w:r w:rsidRPr="00FC0D7B">
        <w:rPr>
          <w:rFonts w:ascii="Times New Roman" w:eastAsia="Times New Roman" w:hAnsi="Times New Roman" w:cs="Times New Roman"/>
          <w:b/>
          <w:kern w:val="32"/>
          <w:lang w:eastAsia="pt-BR"/>
        </w:rPr>
        <w:t>/20</w:t>
      </w:r>
      <w:r>
        <w:rPr>
          <w:rFonts w:ascii="Times New Roman" w:eastAsia="Times New Roman" w:hAnsi="Times New Roman" w:cs="Times New Roman"/>
          <w:b/>
          <w:kern w:val="32"/>
          <w:lang w:eastAsia="pt-BR"/>
        </w:rPr>
        <w:t>24</w:t>
      </w:r>
      <w:r w:rsidRPr="00FC0D7B">
        <w:rPr>
          <w:rFonts w:ascii="Times New Roman" w:eastAsia="Times New Roman" w:hAnsi="Times New Roman" w:cs="Times New Roman"/>
          <w:bCs/>
          <w:kern w:val="32"/>
          <w:lang w:eastAsia="pt-BR"/>
        </w:rPr>
        <w:t>, nos termos do voto do Relator.</w:t>
      </w:r>
    </w:p>
    <w:p w14:paraId="2FA1317E" w14:textId="77777777" w:rsidR="00FC0D7B" w:rsidRPr="00FC0D7B" w:rsidRDefault="00FC0D7B" w:rsidP="00FC0D7B">
      <w:pPr>
        <w:spacing w:after="0" w:line="240" w:lineRule="auto"/>
        <w:ind w:firstLine="1134"/>
        <w:jc w:val="both"/>
        <w:rPr>
          <w:rFonts w:ascii="Times New Roman" w:eastAsia="Times New Roman" w:hAnsi="Times New Roman" w:cs="Times New Roman"/>
          <w:lang w:eastAsia="pt-BR"/>
        </w:rPr>
      </w:pPr>
      <w:r w:rsidRPr="00FC0D7B">
        <w:rPr>
          <w:rFonts w:ascii="Times New Roman" w:eastAsia="Times New Roman" w:hAnsi="Times New Roman" w:cs="Times New Roman"/>
          <w:lang w:eastAsia="pt-BR"/>
        </w:rPr>
        <w:t>É o parecer.</w:t>
      </w:r>
    </w:p>
    <w:p w14:paraId="55F4853D" w14:textId="77777777" w:rsidR="00FC0D7B" w:rsidRPr="00FC0D7B" w:rsidRDefault="00FC0D7B" w:rsidP="00FC0D7B">
      <w:pPr>
        <w:spacing w:after="0" w:line="240" w:lineRule="auto"/>
        <w:ind w:firstLine="2160"/>
        <w:jc w:val="both"/>
        <w:rPr>
          <w:rFonts w:ascii="Times New Roman" w:eastAsia="Times New Roman" w:hAnsi="Times New Roman" w:cs="Times New Roman"/>
          <w:lang w:eastAsia="pt-BR"/>
        </w:rPr>
      </w:pPr>
    </w:p>
    <w:p w14:paraId="20A86687" w14:textId="375076DD" w:rsidR="00FC0D7B" w:rsidRPr="00FC0D7B" w:rsidRDefault="00FC0D7B" w:rsidP="00FC0D7B">
      <w:pPr>
        <w:jc w:val="both"/>
        <w:rPr>
          <w:rFonts w:ascii="Times New Roman" w:eastAsia="Calibri" w:hAnsi="Times New Roman" w:cs="Times New Roman"/>
        </w:rPr>
      </w:pPr>
      <w:r w:rsidRPr="00FC0D7B">
        <w:rPr>
          <w:rFonts w:ascii="Times New Roman" w:eastAsia="Calibri" w:hAnsi="Times New Roman" w:cs="Times New Roman"/>
        </w:rPr>
        <w:t xml:space="preserve">                     SALA DAS COMISSÕES “DEPUTADO LÉO FRANKLIM”, em </w:t>
      </w:r>
      <w:r w:rsidR="001C270E">
        <w:rPr>
          <w:rFonts w:ascii="Times New Roman" w:eastAsia="Calibri" w:hAnsi="Times New Roman" w:cs="Times New Roman"/>
        </w:rPr>
        <w:t>18</w:t>
      </w:r>
      <w:r w:rsidRPr="00FC0D7B">
        <w:rPr>
          <w:rFonts w:ascii="Times New Roman" w:eastAsia="Calibri" w:hAnsi="Times New Roman" w:cs="Times New Roman"/>
        </w:rPr>
        <w:t xml:space="preserve"> de </w:t>
      </w:r>
      <w:r w:rsidR="00977506">
        <w:rPr>
          <w:rFonts w:ascii="Times New Roman" w:eastAsia="Calibri" w:hAnsi="Times New Roman" w:cs="Times New Roman"/>
        </w:rPr>
        <w:t>março</w:t>
      </w:r>
      <w:r w:rsidRPr="00FC0D7B">
        <w:rPr>
          <w:rFonts w:ascii="Times New Roman" w:eastAsia="Calibri" w:hAnsi="Times New Roman" w:cs="Times New Roman"/>
        </w:rPr>
        <w:t xml:space="preserve"> de 2025. </w:t>
      </w:r>
      <w:r w:rsidRPr="00FC0D7B">
        <w:rPr>
          <w:rFonts w:ascii="Times New Roman" w:eastAsia="Calibri" w:hAnsi="Times New Roman" w:cs="Times New Roman"/>
          <w:b/>
          <w:color w:val="000000"/>
        </w:rPr>
        <w:t xml:space="preserve">                                                                                                                                       </w:t>
      </w:r>
    </w:p>
    <w:p w14:paraId="4F736F59" w14:textId="77777777" w:rsidR="006351BA" w:rsidRPr="006351BA" w:rsidRDefault="00FC0D7B" w:rsidP="006351BA">
      <w:pPr>
        <w:autoSpaceDE w:val="0"/>
        <w:autoSpaceDN w:val="0"/>
        <w:adjustRightInd w:val="0"/>
        <w:spacing w:line="240" w:lineRule="auto"/>
        <w:ind w:left="3828" w:firstLine="141"/>
        <w:jc w:val="both"/>
        <w:rPr>
          <w:rFonts w:ascii="Times New Roman" w:eastAsia="Calibri" w:hAnsi="Times New Roman" w:cs="Times New Roman"/>
          <w:b/>
          <w:kern w:val="2"/>
          <w:sz w:val="24"/>
          <w:szCs w:val="24"/>
          <w14:ligatures w14:val="standardContextual"/>
        </w:rPr>
      </w:pPr>
      <w:r w:rsidRPr="00FC0D7B">
        <w:rPr>
          <w:rFonts w:ascii="Times New Roman" w:eastAsia="Calibri" w:hAnsi="Times New Roman" w:cs="Times New Roman"/>
          <w:b/>
          <w:color w:val="000000"/>
        </w:rPr>
        <w:t xml:space="preserve">                                                                     </w:t>
      </w:r>
      <w:r w:rsidR="006351BA" w:rsidRPr="006351BA">
        <w:rPr>
          <w:rFonts w:ascii="Times New Roman" w:eastAsia="Calibri" w:hAnsi="Times New Roman" w:cs="Times New Roman"/>
          <w:b/>
          <w:kern w:val="2"/>
          <w:sz w:val="24"/>
          <w:szCs w:val="24"/>
          <w14:ligatures w14:val="standardContextual"/>
        </w:rPr>
        <w:t xml:space="preserve">Presidente: </w:t>
      </w:r>
      <w:r w:rsidR="006351BA" w:rsidRPr="006351BA">
        <w:rPr>
          <w:rFonts w:ascii="Times New Roman" w:eastAsia="Calibri" w:hAnsi="Times New Roman" w:cs="Times New Roman"/>
          <w:bCs/>
          <w:kern w:val="2"/>
          <w:sz w:val="24"/>
          <w:szCs w:val="24"/>
          <w14:ligatures w14:val="standardContextual"/>
        </w:rPr>
        <w:t>Deputado Florêncio Neto</w:t>
      </w:r>
    </w:p>
    <w:p w14:paraId="1A838592" w14:textId="77777777" w:rsidR="006351BA" w:rsidRPr="006351BA" w:rsidRDefault="006351BA" w:rsidP="006351BA">
      <w:pPr>
        <w:suppressAutoHyphens w:val="0"/>
        <w:autoSpaceDE w:val="0"/>
        <w:autoSpaceDN w:val="0"/>
        <w:adjustRightInd w:val="0"/>
        <w:spacing w:line="240" w:lineRule="auto"/>
        <w:ind w:firstLine="709"/>
        <w:jc w:val="both"/>
        <w:rPr>
          <w:rFonts w:ascii="Times New Roman" w:eastAsia="Calibri" w:hAnsi="Times New Roman" w:cs="Times New Roman"/>
          <w:bCs/>
          <w:kern w:val="2"/>
          <w:sz w:val="24"/>
          <w:szCs w:val="24"/>
          <w14:ligatures w14:val="standardContextual"/>
        </w:rPr>
      </w:pPr>
      <w:r w:rsidRPr="006351BA">
        <w:rPr>
          <w:rFonts w:ascii="Times New Roman" w:eastAsia="Calibri" w:hAnsi="Times New Roman" w:cs="Times New Roman"/>
          <w:b/>
          <w:kern w:val="2"/>
          <w:sz w:val="24"/>
          <w:szCs w:val="24"/>
          <w14:ligatures w14:val="standardContextual"/>
        </w:rPr>
        <w:t xml:space="preserve">                                                    Relator: </w:t>
      </w:r>
      <w:r w:rsidRPr="006351BA">
        <w:rPr>
          <w:rFonts w:ascii="Times New Roman" w:eastAsia="Calibri" w:hAnsi="Times New Roman" w:cs="Times New Roman"/>
          <w:bCs/>
          <w:kern w:val="2"/>
          <w:sz w:val="24"/>
          <w:szCs w:val="24"/>
          <w14:ligatures w14:val="standardContextual"/>
        </w:rPr>
        <w:t>Deputado Ariston</w:t>
      </w:r>
    </w:p>
    <w:p w14:paraId="42A7FC85" w14:textId="77777777" w:rsidR="006351BA" w:rsidRPr="006351BA" w:rsidRDefault="006351BA" w:rsidP="006351BA">
      <w:pPr>
        <w:suppressAutoHyphens w:val="0"/>
        <w:autoSpaceDE w:val="0"/>
        <w:autoSpaceDN w:val="0"/>
        <w:adjustRightInd w:val="0"/>
        <w:spacing w:line="360" w:lineRule="auto"/>
        <w:jc w:val="both"/>
        <w:rPr>
          <w:rFonts w:ascii="Times New Roman" w:eastAsia="Calibri" w:hAnsi="Times New Roman" w:cs="Times New Roman"/>
          <w:kern w:val="2"/>
          <w:sz w:val="24"/>
          <w:szCs w:val="24"/>
          <w14:ligatures w14:val="standardContextual"/>
        </w:rPr>
      </w:pPr>
      <w:r w:rsidRPr="006351BA">
        <w:rPr>
          <w:rFonts w:ascii="Times New Roman" w:eastAsia="Calibri" w:hAnsi="Times New Roman" w:cs="Times New Roman"/>
          <w:b/>
          <w:kern w:val="2"/>
          <w:sz w:val="24"/>
          <w:szCs w:val="24"/>
          <w14:ligatures w14:val="standardContextual"/>
        </w:rPr>
        <w:t>Vota a favor:                                                       Vota contra:</w:t>
      </w:r>
    </w:p>
    <w:p w14:paraId="418F42EC" w14:textId="77777777" w:rsidR="006351BA" w:rsidRPr="006351BA" w:rsidRDefault="006351BA" w:rsidP="006351BA">
      <w:pPr>
        <w:suppressAutoHyphens w:val="0"/>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6351BA">
        <w:rPr>
          <w:rFonts w:ascii="Times New Roman" w:eastAsia="Calibri" w:hAnsi="Times New Roman" w:cs="Times New Roman"/>
          <w:kern w:val="2"/>
          <w:sz w:val="24"/>
          <w:szCs w:val="24"/>
          <w14:ligatures w14:val="standardContextual"/>
        </w:rPr>
        <w:t>Deputado Neto Evangelista                                 ________________________</w:t>
      </w:r>
    </w:p>
    <w:p w14:paraId="300731F3" w14:textId="77777777" w:rsidR="006351BA" w:rsidRPr="006351BA" w:rsidRDefault="006351BA" w:rsidP="006351BA">
      <w:pPr>
        <w:suppressAutoHyphens w:val="0"/>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6351BA">
        <w:rPr>
          <w:rFonts w:ascii="Times New Roman" w:eastAsia="Calibri" w:hAnsi="Times New Roman" w:cs="Times New Roman"/>
          <w:kern w:val="2"/>
          <w:sz w:val="24"/>
          <w:szCs w:val="24"/>
          <w14:ligatures w14:val="standardContextual"/>
        </w:rPr>
        <w:t>Deputado Arnaldo Melo                                     ________________________</w:t>
      </w:r>
    </w:p>
    <w:p w14:paraId="1F14056E" w14:textId="77777777" w:rsidR="006351BA" w:rsidRPr="006351BA" w:rsidRDefault="006351BA" w:rsidP="006351BA">
      <w:pPr>
        <w:suppressAutoHyphens w:val="0"/>
        <w:autoSpaceDE w:val="0"/>
        <w:autoSpaceDN w:val="0"/>
        <w:adjustRightInd w:val="0"/>
        <w:spacing w:after="160" w:line="360" w:lineRule="auto"/>
        <w:jc w:val="both"/>
        <w:rPr>
          <w:rFonts w:ascii="Times New Roman" w:eastAsia="Calibri" w:hAnsi="Times New Roman" w:cs="Times New Roman"/>
          <w:kern w:val="2"/>
          <w:sz w:val="24"/>
          <w:szCs w:val="24"/>
          <w14:ligatures w14:val="standardContextual"/>
        </w:rPr>
      </w:pPr>
      <w:r w:rsidRPr="006351BA">
        <w:rPr>
          <w:rFonts w:ascii="Times New Roman" w:eastAsia="Calibri" w:hAnsi="Times New Roman" w:cs="Times New Roman"/>
          <w:kern w:val="2"/>
          <w:sz w:val="24"/>
          <w:szCs w:val="24"/>
          <w14:ligatures w14:val="standardContextual"/>
        </w:rPr>
        <w:t>Deputado Júlio Mendonça                                   ________________________</w:t>
      </w:r>
    </w:p>
    <w:p w14:paraId="0E63F366" w14:textId="272DB92D" w:rsidR="00FC0D7B" w:rsidRPr="00FC0D7B" w:rsidRDefault="006351BA" w:rsidP="006351BA">
      <w:pPr>
        <w:suppressAutoHyphens w:val="0"/>
        <w:autoSpaceDE w:val="0"/>
        <w:autoSpaceDN w:val="0"/>
        <w:adjustRightInd w:val="0"/>
        <w:spacing w:after="160" w:line="360" w:lineRule="auto"/>
        <w:jc w:val="both"/>
        <w:rPr>
          <w:rFonts w:ascii="Times New Roman" w:hAnsi="Times New Roman" w:cs="Times New Roman"/>
        </w:rPr>
      </w:pPr>
      <w:r w:rsidRPr="006351BA">
        <w:rPr>
          <w:rFonts w:ascii="Times New Roman" w:eastAsia="Calibri" w:hAnsi="Times New Roman" w:cs="Times New Roman"/>
          <w:kern w:val="2"/>
          <w:sz w:val="24"/>
          <w:szCs w:val="24"/>
          <w14:ligatures w14:val="standardContextual"/>
        </w:rPr>
        <w:t>Deputado Ricardo Arruda                                    ________________________</w:t>
      </w:r>
    </w:p>
    <w:sectPr w:rsidR="00FC0D7B" w:rsidRPr="00FC0D7B" w:rsidSect="00FC0D7B">
      <w:headerReference w:type="default" r:id="rId7"/>
      <w:pgSz w:w="11906" w:h="16838"/>
      <w:pgMar w:top="1417" w:right="1701" w:bottom="1417" w:left="1701" w:header="142" w:footer="708"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14E214" w14:textId="77777777" w:rsidR="00BA4820" w:rsidRDefault="00BA4820">
      <w:pPr>
        <w:spacing w:after="0" w:line="240" w:lineRule="auto"/>
      </w:pPr>
      <w:r>
        <w:separator/>
      </w:r>
    </w:p>
  </w:endnote>
  <w:endnote w:type="continuationSeparator" w:id="0">
    <w:p w14:paraId="34731708" w14:textId="77777777" w:rsidR="00BA4820" w:rsidRDefault="00BA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345E5" w14:textId="77777777" w:rsidR="00BA4820" w:rsidRDefault="00BA4820">
      <w:pPr>
        <w:spacing w:after="0" w:line="240" w:lineRule="auto"/>
      </w:pPr>
      <w:r>
        <w:separator/>
      </w:r>
    </w:p>
  </w:footnote>
  <w:footnote w:type="continuationSeparator" w:id="0">
    <w:p w14:paraId="56F45433" w14:textId="77777777" w:rsidR="00BA4820" w:rsidRDefault="00BA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3C64B" w14:textId="5DE86DA4" w:rsidR="00FC0D7B" w:rsidRDefault="00FC0D7B" w:rsidP="00FC0D7B">
    <w:pPr>
      <w:pStyle w:val="Cabealho"/>
      <w:ind w:right="360"/>
      <w:jc w:val="center"/>
      <w:rPr>
        <w:b/>
        <w:color w:val="000080"/>
        <w:sz w:val="18"/>
        <w:szCs w:val="18"/>
      </w:rPr>
    </w:pPr>
    <w:r>
      <w:rPr>
        <w:noProof/>
        <w:sz w:val="18"/>
        <w:szCs w:val="18"/>
        <w:lang w:eastAsia="pt-BR"/>
      </w:rPr>
      <w:drawing>
        <wp:inline distT="0" distB="0" distL="0" distR="0" wp14:anchorId="7AD76FAA" wp14:editId="38C3060B">
          <wp:extent cx="942975" cy="819150"/>
          <wp:effectExtent l="0" t="0" r="9525" b="0"/>
          <wp:docPr id="544034511" name="Imagem 1" descr="Diagrama, 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03478" name="Imagem 1" descr="Diagrama, Logotipo&#10;&#10;O conteúdo gerado por IA pode estar incorre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819150"/>
                  </a:xfrm>
                  <a:prstGeom prst="rect">
                    <a:avLst/>
                  </a:prstGeom>
                  <a:noFill/>
                  <a:ln>
                    <a:noFill/>
                  </a:ln>
                </pic:spPr>
              </pic:pic>
            </a:graphicData>
          </a:graphic>
        </wp:inline>
      </w:drawing>
    </w:r>
  </w:p>
  <w:p w14:paraId="7E3AF6B2" w14:textId="77777777" w:rsidR="00FC0D7B" w:rsidRDefault="00FC0D7B" w:rsidP="00FC0D7B">
    <w:pPr>
      <w:pStyle w:val="Cabealho"/>
      <w:jc w:val="center"/>
      <w:rPr>
        <w:b/>
        <w:sz w:val="18"/>
        <w:szCs w:val="18"/>
      </w:rPr>
    </w:pPr>
    <w:r>
      <w:rPr>
        <w:b/>
        <w:sz w:val="18"/>
        <w:szCs w:val="18"/>
      </w:rPr>
      <w:t>ESTADO DO MARANHÃO</w:t>
    </w:r>
  </w:p>
  <w:p w14:paraId="3717077F" w14:textId="77777777" w:rsidR="00FC0D7B" w:rsidRDefault="00FC0D7B" w:rsidP="00FC0D7B">
    <w:pPr>
      <w:pStyle w:val="Cabealho"/>
      <w:jc w:val="center"/>
      <w:rPr>
        <w:b/>
        <w:sz w:val="18"/>
        <w:szCs w:val="18"/>
      </w:rPr>
    </w:pPr>
    <w:r>
      <w:rPr>
        <w:b/>
        <w:sz w:val="18"/>
        <w:szCs w:val="18"/>
      </w:rPr>
      <w:t>ASSEMBLEIA LEGISLATIVA DO MARANHÃO</w:t>
    </w:r>
  </w:p>
  <w:p w14:paraId="09875E4B" w14:textId="77777777" w:rsidR="00FC0D7B" w:rsidRDefault="00FC0D7B" w:rsidP="00FC0D7B">
    <w:pPr>
      <w:pStyle w:val="Cabealho"/>
      <w:jc w:val="center"/>
      <w:rPr>
        <w:b/>
        <w:sz w:val="18"/>
        <w:szCs w:val="18"/>
      </w:rPr>
    </w:pPr>
    <w:r>
      <w:rPr>
        <w:b/>
        <w:sz w:val="18"/>
        <w:szCs w:val="18"/>
      </w:rPr>
      <w:t>INSTALADA EM 16 DE FEVEREIRO DE 1835</w:t>
    </w:r>
  </w:p>
  <w:p w14:paraId="29391DD7" w14:textId="77777777" w:rsidR="00FC0D7B" w:rsidRDefault="00FC0D7B" w:rsidP="00FC0D7B">
    <w:pPr>
      <w:pStyle w:val="Cabealho"/>
      <w:jc w:val="center"/>
      <w:rPr>
        <w:b/>
        <w:sz w:val="18"/>
        <w:szCs w:val="18"/>
      </w:rPr>
    </w:pPr>
    <w:r>
      <w:rPr>
        <w:b/>
        <w:sz w:val="18"/>
        <w:szCs w:val="18"/>
      </w:rPr>
      <w:t>DIRETORIA LEGISLATIVA</w:t>
    </w:r>
  </w:p>
  <w:p w14:paraId="0F3A9C99" w14:textId="77777777" w:rsidR="00FC0D7B" w:rsidRDefault="00FC0D7B" w:rsidP="00FC0D7B">
    <w:pPr>
      <w:pStyle w:val="Cabealho"/>
    </w:pPr>
  </w:p>
  <w:p w14:paraId="6F32BE3A" w14:textId="77777777" w:rsidR="00FC0D7B" w:rsidRDefault="00FC0D7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7DE"/>
    <w:rsid w:val="000305F9"/>
    <w:rsid w:val="001C270E"/>
    <w:rsid w:val="002365AA"/>
    <w:rsid w:val="00390E06"/>
    <w:rsid w:val="003B1B2A"/>
    <w:rsid w:val="003B4DB2"/>
    <w:rsid w:val="004137DE"/>
    <w:rsid w:val="0042024B"/>
    <w:rsid w:val="00471B1A"/>
    <w:rsid w:val="004E4CC7"/>
    <w:rsid w:val="00581606"/>
    <w:rsid w:val="005970A3"/>
    <w:rsid w:val="00625F71"/>
    <w:rsid w:val="006351BA"/>
    <w:rsid w:val="006667DD"/>
    <w:rsid w:val="008169EF"/>
    <w:rsid w:val="0082256D"/>
    <w:rsid w:val="00880E47"/>
    <w:rsid w:val="008842D5"/>
    <w:rsid w:val="00977506"/>
    <w:rsid w:val="009E70A6"/>
    <w:rsid w:val="00A20FC2"/>
    <w:rsid w:val="00AE5B9A"/>
    <w:rsid w:val="00B4314E"/>
    <w:rsid w:val="00BA4820"/>
    <w:rsid w:val="00C64F13"/>
    <w:rsid w:val="00E21D08"/>
    <w:rsid w:val="00E66F4C"/>
    <w:rsid w:val="00E83E33"/>
    <w:rsid w:val="00F708AB"/>
    <w:rsid w:val="00FC0D7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C8078"/>
  <w15:docId w15:val="{15076C3F-5C56-4E76-B001-2566FCC0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tulo1">
    <w:name w:val="heading 1"/>
    <w:basedOn w:val="Ttulo"/>
    <w:next w:val="Corpodetexto"/>
    <w:qFormat/>
    <w:pPr>
      <w:outlineLvl w:val="0"/>
    </w:pPr>
    <w:rPr>
      <w:rFonts w:ascii="Liberation Serif" w:eastAsia="Segoe UI" w:hAnsi="Liberation Serif" w:cs="Tahoma"/>
      <w:b/>
      <w:bCs/>
      <w:sz w:val="48"/>
      <w:szCs w:val="48"/>
    </w:rPr>
  </w:style>
  <w:style w:type="paragraph" w:styleId="Ttulo3">
    <w:name w:val="heading 3"/>
    <w:basedOn w:val="Normal"/>
    <w:next w:val="Normal"/>
    <w:link w:val="Ttulo3Char"/>
    <w:uiPriority w:val="9"/>
    <w:semiHidden/>
    <w:unhideWhenUsed/>
    <w:qFormat/>
    <w:rsid w:val="00461C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Ttulo"/>
    <w:next w:val="Corpodetexto"/>
    <w:qFormat/>
    <w:pPr>
      <w:spacing w:before="120"/>
      <w:outlineLvl w:val="3"/>
    </w:pPr>
    <w:rPr>
      <w:rFonts w:ascii="Liberation Serif" w:eastAsia="Segoe UI" w:hAnsi="Liberation Serif" w:cs="Tahoma"/>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1C4230"/>
  </w:style>
  <w:style w:type="character" w:customStyle="1" w:styleId="RodapChar">
    <w:name w:val="Rodapé Char"/>
    <w:basedOn w:val="Fontepargpadro"/>
    <w:link w:val="Rodap"/>
    <w:uiPriority w:val="99"/>
    <w:qFormat/>
    <w:rsid w:val="001C4230"/>
  </w:style>
  <w:style w:type="character" w:customStyle="1" w:styleId="TextodebaloChar">
    <w:name w:val="Texto de balão Char"/>
    <w:basedOn w:val="Fontepargpadro"/>
    <w:link w:val="Textodebalo"/>
    <w:uiPriority w:val="99"/>
    <w:semiHidden/>
    <w:qFormat/>
    <w:rsid w:val="001C423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qFormat/>
    <w:rsid w:val="00471B84"/>
    <w:rPr>
      <w:rFonts w:ascii="Times New Roman" w:eastAsia="Times New Roman" w:hAnsi="Times New Roman" w:cs="Times New Roman"/>
      <w:sz w:val="20"/>
      <w:szCs w:val="20"/>
      <w:lang w:eastAsia="pt-BR"/>
    </w:rPr>
  </w:style>
  <w:style w:type="character" w:customStyle="1" w:styleId="Caracteresdenotaderodap">
    <w:name w:val="Caracteres de nota de rodapé"/>
    <w:uiPriority w:val="99"/>
    <w:semiHidden/>
    <w:unhideWhenUsed/>
    <w:qFormat/>
    <w:rsid w:val="00471B84"/>
    <w:rPr>
      <w:vertAlign w:val="superscript"/>
    </w:rPr>
  </w:style>
  <w:style w:type="character" w:styleId="Refdenotaderodap">
    <w:name w:val="footnote reference"/>
    <w:rPr>
      <w:vertAlign w:val="superscript"/>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qFormat/>
    <w:rsid w:val="00D70709"/>
  </w:style>
  <w:style w:type="character" w:styleId="nfase">
    <w:name w:val="Emphasis"/>
    <w:basedOn w:val="Fontepargpadro"/>
    <w:uiPriority w:val="20"/>
    <w:qFormat/>
    <w:rsid w:val="00D70709"/>
    <w:rPr>
      <w:i/>
      <w:iCs/>
    </w:rPr>
  </w:style>
  <w:style w:type="character" w:customStyle="1" w:styleId="Pr-formataoHTMLChar">
    <w:name w:val="Pré-formatação HTML Char"/>
    <w:basedOn w:val="Fontepargpadro"/>
    <w:link w:val="Pr-formataoHTML"/>
    <w:uiPriority w:val="99"/>
    <w:semiHidden/>
    <w:qFormat/>
    <w:rsid w:val="00ED54D2"/>
    <w:rPr>
      <w:rFonts w:ascii="Courier New" w:eastAsia="Times New Roman" w:hAnsi="Courier New" w:cs="Courier New"/>
      <w:sz w:val="20"/>
      <w:szCs w:val="20"/>
      <w:lang w:eastAsia="pt-BR"/>
    </w:rPr>
  </w:style>
  <w:style w:type="character" w:customStyle="1" w:styleId="CorpodetextoChar">
    <w:name w:val="Corpo de texto Char"/>
    <w:basedOn w:val="Fontepargpadro"/>
    <w:link w:val="Corpodetexto"/>
    <w:qFormat/>
    <w:rsid w:val="00BA0B71"/>
    <w:rPr>
      <w:rFonts w:ascii="Times New Roman" w:eastAsia="Times New Roman" w:hAnsi="Times New Roman" w:cs="Times New Roman"/>
      <w:sz w:val="28"/>
      <w:szCs w:val="20"/>
      <w:lang w:val="x-none" w:eastAsia="x-none"/>
    </w:rPr>
  </w:style>
  <w:style w:type="character" w:customStyle="1" w:styleId="CorpodetextoChar1">
    <w:name w:val="Corpo de texto Char1"/>
    <w:basedOn w:val="Fontepargpadro"/>
    <w:uiPriority w:val="99"/>
    <w:semiHidden/>
    <w:qFormat/>
    <w:rsid w:val="00BA0B71"/>
  </w:style>
  <w:style w:type="character" w:customStyle="1" w:styleId="Caracteresdenotadefim">
    <w:name w:val="Caracteres de nota de fim"/>
    <w:qFormat/>
    <w:rPr>
      <w:vertAlign w:val="superscript"/>
    </w:rPr>
  </w:style>
  <w:style w:type="character" w:styleId="Refdenotadefim">
    <w:name w:val="endnote reference"/>
    <w:rPr>
      <w:vertAlign w:val="superscript"/>
    </w:rPr>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character" w:customStyle="1" w:styleId="Ttulo3Char">
    <w:name w:val="Título 3 Char"/>
    <w:basedOn w:val="Fontepargpadro"/>
    <w:link w:val="Ttulo3"/>
    <w:uiPriority w:val="9"/>
    <w:semiHidden/>
    <w:qFormat/>
    <w:rsid w:val="00461C3E"/>
    <w:rPr>
      <w:rFonts w:asciiTheme="majorHAnsi" w:eastAsiaTheme="majorEastAsia" w:hAnsiTheme="majorHAnsi" w:cstheme="majorBidi"/>
      <w:color w:val="243F60" w:themeColor="accent1" w:themeShade="7F"/>
      <w:sz w:val="24"/>
      <w:szCs w:val="24"/>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rsid w:val="00BA0B71"/>
    <w:pPr>
      <w:spacing w:after="0" w:line="240" w:lineRule="auto"/>
      <w:jc w:val="both"/>
    </w:pPr>
    <w:rPr>
      <w:rFonts w:ascii="Times New Roman" w:eastAsia="Times New Roman" w:hAnsi="Times New Roman" w:cs="Times New Roman"/>
      <w:sz w:val="28"/>
      <w:szCs w:val="20"/>
      <w:lang w:val="x-none" w:eastAsia="x-none"/>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sz w:val="24"/>
      <w:szCs w:val="24"/>
    </w:rPr>
  </w:style>
  <w:style w:type="paragraph" w:customStyle="1" w:styleId="caption11">
    <w:name w:val="caption11"/>
    <w:basedOn w:val="Normal"/>
    <w:qFormat/>
    <w:pPr>
      <w:suppressLineNumbers/>
      <w:spacing w:before="120" w:after="120"/>
    </w:pPr>
    <w:rPr>
      <w:rFonts w:cs="Arial"/>
      <w:i/>
      <w:iCs/>
      <w:sz w:val="24"/>
      <w:szCs w:val="24"/>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1C4230"/>
    <w:pPr>
      <w:spacing w:after="0" w:line="240" w:lineRule="auto"/>
    </w:pPr>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471B84"/>
    <w:pPr>
      <w:spacing w:after="0" w:line="240" w:lineRule="auto"/>
    </w:pPr>
    <w:rPr>
      <w:rFonts w:ascii="Times New Roman" w:eastAsia="Times New Roman" w:hAnsi="Times New Roman" w:cs="Times New Roman"/>
      <w:sz w:val="20"/>
      <w:szCs w:val="20"/>
      <w:lang w:eastAsia="pt-BR"/>
    </w:rPr>
  </w:style>
  <w:style w:type="paragraph" w:customStyle="1" w:styleId="Default">
    <w:name w:val="Default"/>
    <w:qFormat/>
    <w:rsid w:val="00471B84"/>
    <w:rPr>
      <w:rFonts w:ascii="Trebuchet MS" w:eastAsia="Calibri" w:hAnsi="Trebuchet MS" w:cs="Trebuchet MS"/>
      <w:color w:val="000000"/>
      <w:sz w:val="24"/>
      <w:szCs w:val="24"/>
    </w:rPr>
  </w:style>
  <w:style w:type="paragraph" w:styleId="NormalWeb">
    <w:name w:val="Normal (Web)"/>
    <w:basedOn w:val="Normal"/>
    <w:uiPriority w:val="99"/>
    <w:unhideWhenUsed/>
    <w:qFormat/>
    <w:rsid w:val="008210F2"/>
    <w:pPr>
      <w:spacing w:beforeAutospacing="1"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qFormat/>
    <w:rsid w:val="00ED5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Textodenotadefim">
    <w:name w:val="endnote text"/>
    <w:basedOn w:val="Normal"/>
    <w:pPr>
      <w:suppressLineNumbers/>
      <w:ind w:left="340" w:hanging="340"/>
    </w:pPr>
    <w:rPr>
      <w:sz w:val="20"/>
      <w:szCs w:val="20"/>
    </w:rPr>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 w:type="paragraph" w:customStyle="1" w:styleId="Blocodecitao">
    <w:name w:val="Bloco de citação"/>
    <w:basedOn w:val="Normal"/>
    <w:qFormat/>
    <w:pPr>
      <w:spacing w:after="283"/>
      <w:ind w:left="567" w:right="567"/>
    </w:pPr>
  </w:style>
  <w:style w:type="paragraph" w:customStyle="1" w:styleId="normal1">
    <w:name w:val="normal1"/>
    <w:qFormat/>
  </w:style>
  <w:style w:type="paragraph" w:customStyle="1" w:styleId="Ementa">
    <w:name w:val="Ementa"/>
    <w:basedOn w:val="Normal"/>
    <w:qFormat/>
    <w:pPr>
      <w:spacing w:after="0"/>
      <w:ind w:left="1134"/>
      <w:jc w:val="both"/>
    </w:pPr>
    <w:rPr>
      <w:rFonts w:ascii="Arial Narrow" w:eastAsia="Calibri" w:hAnsi="Arial Narrow" w:cs="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4609">
      <w:bodyDiv w:val="1"/>
      <w:marLeft w:val="0"/>
      <w:marRight w:val="0"/>
      <w:marTop w:val="0"/>
      <w:marBottom w:val="0"/>
      <w:divBdr>
        <w:top w:val="none" w:sz="0" w:space="0" w:color="auto"/>
        <w:left w:val="none" w:sz="0" w:space="0" w:color="auto"/>
        <w:bottom w:val="none" w:sz="0" w:space="0" w:color="auto"/>
        <w:right w:val="none" w:sz="0" w:space="0" w:color="auto"/>
      </w:divBdr>
    </w:div>
    <w:div w:id="315182253">
      <w:bodyDiv w:val="1"/>
      <w:marLeft w:val="0"/>
      <w:marRight w:val="0"/>
      <w:marTop w:val="0"/>
      <w:marBottom w:val="0"/>
      <w:divBdr>
        <w:top w:val="none" w:sz="0" w:space="0" w:color="auto"/>
        <w:left w:val="none" w:sz="0" w:space="0" w:color="auto"/>
        <w:bottom w:val="none" w:sz="0" w:space="0" w:color="auto"/>
        <w:right w:val="none" w:sz="0" w:space="0" w:color="auto"/>
      </w:divBdr>
    </w:div>
    <w:div w:id="329212287">
      <w:bodyDiv w:val="1"/>
      <w:marLeft w:val="0"/>
      <w:marRight w:val="0"/>
      <w:marTop w:val="0"/>
      <w:marBottom w:val="0"/>
      <w:divBdr>
        <w:top w:val="none" w:sz="0" w:space="0" w:color="auto"/>
        <w:left w:val="none" w:sz="0" w:space="0" w:color="auto"/>
        <w:bottom w:val="none" w:sz="0" w:space="0" w:color="auto"/>
        <w:right w:val="none" w:sz="0" w:space="0" w:color="auto"/>
      </w:divBdr>
    </w:div>
    <w:div w:id="738988109">
      <w:bodyDiv w:val="1"/>
      <w:marLeft w:val="0"/>
      <w:marRight w:val="0"/>
      <w:marTop w:val="0"/>
      <w:marBottom w:val="0"/>
      <w:divBdr>
        <w:top w:val="none" w:sz="0" w:space="0" w:color="auto"/>
        <w:left w:val="none" w:sz="0" w:space="0" w:color="auto"/>
        <w:bottom w:val="none" w:sz="0" w:space="0" w:color="auto"/>
        <w:right w:val="none" w:sz="0" w:space="0" w:color="auto"/>
      </w:divBdr>
    </w:div>
    <w:div w:id="979382506">
      <w:bodyDiv w:val="1"/>
      <w:marLeft w:val="0"/>
      <w:marRight w:val="0"/>
      <w:marTop w:val="0"/>
      <w:marBottom w:val="0"/>
      <w:divBdr>
        <w:top w:val="none" w:sz="0" w:space="0" w:color="auto"/>
        <w:left w:val="none" w:sz="0" w:space="0" w:color="auto"/>
        <w:bottom w:val="none" w:sz="0" w:space="0" w:color="auto"/>
        <w:right w:val="none" w:sz="0" w:space="0" w:color="auto"/>
      </w:divBdr>
    </w:div>
    <w:div w:id="1090352176">
      <w:bodyDiv w:val="1"/>
      <w:marLeft w:val="0"/>
      <w:marRight w:val="0"/>
      <w:marTop w:val="0"/>
      <w:marBottom w:val="0"/>
      <w:divBdr>
        <w:top w:val="none" w:sz="0" w:space="0" w:color="auto"/>
        <w:left w:val="none" w:sz="0" w:space="0" w:color="auto"/>
        <w:bottom w:val="none" w:sz="0" w:space="0" w:color="auto"/>
        <w:right w:val="none" w:sz="0" w:space="0" w:color="auto"/>
      </w:divBdr>
    </w:div>
    <w:div w:id="1342313156">
      <w:bodyDiv w:val="1"/>
      <w:marLeft w:val="0"/>
      <w:marRight w:val="0"/>
      <w:marTop w:val="0"/>
      <w:marBottom w:val="0"/>
      <w:divBdr>
        <w:top w:val="none" w:sz="0" w:space="0" w:color="auto"/>
        <w:left w:val="none" w:sz="0" w:space="0" w:color="auto"/>
        <w:bottom w:val="none" w:sz="0" w:space="0" w:color="auto"/>
        <w:right w:val="none" w:sz="0" w:space="0" w:color="auto"/>
      </w:divBdr>
    </w:div>
    <w:div w:id="1349019200">
      <w:bodyDiv w:val="1"/>
      <w:marLeft w:val="0"/>
      <w:marRight w:val="0"/>
      <w:marTop w:val="0"/>
      <w:marBottom w:val="0"/>
      <w:divBdr>
        <w:top w:val="none" w:sz="0" w:space="0" w:color="auto"/>
        <w:left w:val="none" w:sz="0" w:space="0" w:color="auto"/>
        <w:bottom w:val="none" w:sz="0" w:space="0" w:color="auto"/>
        <w:right w:val="none" w:sz="0" w:space="0" w:color="auto"/>
      </w:divBdr>
    </w:div>
    <w:div w:id="15342658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DF5AD-3F99-4CB1-8941-56AF1D5FA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1684</Words>
  <Characters>9096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Matheus Nobre Costa</dc:creator>
  <cp:lastModifiedBy>Adriana Jardim Castro Rocha dos Reis</cp:lastModifiedBy>
  <cp:revision>2</cp:revision>
  <dcterms:created xsi:type="dcterms:W3CDTF">2025-03-18T18:34:00Z</dcterms:created>
  <dcterms:modified xsi:type="dcterms:W3CDTF">2025-03-18T18:34:00Z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2024-04-26T14:44:00Z</dcterms:created>
  <dc:creator>José Anderson Abreu Rocha</dc:creator>
  <dc:description/>
  <dc:language>pt-BR</dc:language>
  <cp:lastModifiedBy/>
  <cp:lastPrinted>2019-08-07T15:09:00Z</cp:lastPrinted>
  <dcterms:modified xsi:type="dcterms:W3CDTF">2024-10-07T21:12:29Z</dcterms:modified>
  <cp:revision>32</cp:revision>
  <dc:subject/>
  <dc:title/>
</cp:coreProperties>
</file>