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B844D" w14:textId="77777777" w:rsidR="00730AF3" w:rsidRPr="00730AF3" w:rsidRDefault="00730AF3" w:rsidP="00730AF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pt-BR"/>
        </w:rPr>
      </w:pPr>
      <w:bookmarkStart w:id="0" w:name="_Hlk1479601"/>
      <w:r w:rsidRPr="00730AF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single"/>
          <w:lang w:eastAsia="pt-BR"/>
        </w:rPr>
        <w:t>COMISSÃO DE CONSTITUIÇÃO, JUSTIÇA E CIDADANIA</w:t>
      </w:r>
    </w:p>
    <w:bookmarkEnd w:id="0"/>
    <w:p w14:paraId="167F60A8" w14:textId="22580560" w:rsidR="00730AF3" w:rsidRPr="00730AF3" w:rsidRDefault="00730AF3" w:rsidP="00730AF3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</w:pPr>
      <w:r w:rsidRPr="00730A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 xml:space="preserve">                                                           </w:t>
      </w:r>
      <w:r w:rsidRPr="00730AF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  <w:t xml:space="preserve">P A R E C E R </w:t>
      </w:r>
      <w:proofErr w:type="gramStart"/>
      <w:r w:rsidRPr="00730AF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  <w:t xml:space="preserve">Nº  </w:t>
      </w:r>
      <w:r w:rsidR="00143FEA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  <w:t>266</w:t>
      </w:r>
      <w:proofErr w:type="gramEnd"/>
      <w:r w:rsidRPr="00730AF3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t-BR"/>
        </w:rPr>
        <w:t>/2025</w:t>
      </w:r>
    </w:p>
    <w:p w14:paraId="2FABC90D" w14:textId="77777777" w:rsidR="00730AF3" w:rsidRPr="00730AF3" w:rsidRDefault="00730AF3" w:rsidP="00730AF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A0AEEAC" w14:textId="77777777" w:rsidR="00730AF3" w:rsidRPr="00730AF3" w:rsidRDefault="00730AF3" w:rsidP="00730AF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30AF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RELATÓRIO:</w:t>
      </w:r>
    </w:p>
    <w:p w14:paraId="4E6B8EF5" w14:textId="50013A45" w:rsidR="0095677F" w:rsidRPr="00730AF3" w:rsidRDefault="00D12994" w:rsidP="005D1F17">
      <w:pPr>
        <w:spacing w:after="120" w:line="360" w:lineRule="auto"/>
        <w:ind w:firstLine="1134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 termos do art. 42, § 1º, da Constituição Estadual, o Governador do Estado </w:t>
      </w:r>
      <w:r w:rsidR="002E2EEA"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>submete à apreciação da Assemble</w:t>
      </w:r>
      <w:r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ia Legislativa do Maranhão a </w:t>
      </w:r>
      <w:r w:rsidR="00803832" w:rsidRPr="00730A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Medida Provisória </w:t>
      </w:r>
      <w:r w:rsidR="00730A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</w:t>
      </w:r>
      <w:r w:rsidR="00803832" w:rsidRPr="00730A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nº </w:t>
      </w:r>
      <w:r w:rsidR="00481B21" w:rsidRPr="00730A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EE7F05" w:rsidRPr="00730A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77</w:t>
      </w:r>
      <w:r w:rsidR="00803832" w:rsidRPr="00730A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</w:t>
      </w:r>
      <w:r w:rsidR="00481B21" w:rsidRPr="00730A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EE7F05" w:rsidRPr="00730A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46D3A" w:rsidRPr="00730AF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que</w:t>
      </w:r>
      <w:r w:rsidR="008C5C6E" w:rsidRPr="00730AF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EE7F05"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>altera dispositivo da Lei nº 9.437, de 15 de agosto de 2011, que dispõe sobre a concessão de incentivo fiscal para contribuinte de ICMS que financiar projeto cultural</w:t>
      </w:r>
      <w:r w:rsidR="002E2EEA" w:rsidRPr="00730AF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14:paraId="6F7936E3" w14:textId="5B034236" w:rsidR="00730AF3" w:rsidRPr="00730AF3" w:rsidRDefault="00730AF3" w:rsidP="00730AF3">
      <w:pPr>
        <w:spacing w:after="12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0AF3">
        <w:rPr>
          <w:rFonts w:ascii="Times New Roman" w:hAnsi="Times New Roman" w:cs="Times New Roman"/>
          <w:color w:val="000000"/>
          <w:sz w:val="24"/>
          <w:szCs w:val="24"/>
        </w:rPr>
        <w:t xml:space="preserve">Em suma, a Medida Provisória, ora proposta, determina, em seus termos, que fica </w:t>
      </w:r>
      <w:r w:rsidRPr="00730A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alterado o </w:t>
      </w:r>
      <w:r w:rsidRPr="00730AF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caput</w:t>
      </w:r>
      <w:r w:rsidRPr="00730A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art. 7º da Lei nº 9.437, de 15 de agosto de 2011, que passa a vigorar com a seguinte redação: </w:t>
      </w:r>
    </w:p>
    <w:p w14:paraId="3F0DD7A3" w14:textId="77777777" w:rsidR="00730AF3" w:rsidRPr="00730AF3" w:rsidRDefault="00730AF3" w:rsidP="00730AF3">
      <w:pPr>
        <w:spacing w:after="0"/>
        <w:ind w:left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0AF3">
        <w:rPr>
          <w:rFonts w:ascii="Times New Roman" w:hAnsi="Times New Roman" w:cs="Times New Roman"/>
          <w:i/>
          <w:iCs/>
          <w:sz w:val="24"/>
          <w:szCs w:val="24"/>
        </w:rPr>
        <w:t>“Art. 7º O Poder Executivo regulamentará o disposto nesta lei e fixará limite financeiro anual para o montante a ser financiado por meio do incentivo fiscal aqui tratado, não podendo este ultrapassar 0,75% (setenta e cinco centésimos por cento) do total da arrecadação do ICMS realizada no exercício imediatamente anterior ao da concessão.” (NR)</w:t>
      </w:r>
    </w:p>
    <w:p w14:paraId="7DAA9F7E" w14:textId="77777777" w:rsidR="00730AF3" w:rsidRPr="00730AF3" w:rsidRDefault="00730AF3" w:rsidP="005D1F17">
      <w:pPr>
        <w:spacing w:after="12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194AC355" w14:textId="30EB58CB" w:rsidR="00730AF3" w:rsidRPr="00730AF3" w:rsidRDefault="00730AF3" w:rsidP="00123B6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30AF3">
        <w:rPr>
          <w:rFonts w:ascii="Times New Roman" w:hAnsi="Times New Roman" w:cs="Times New Roman"/>
          <w:color w:val="000000"/>
          <w:sz w:val="24"/>
          <w:szCs w:val="24"/>
        </w:rPr>
        <w:t xml:space="preserve">Esclarece a Mensagem Governamental, que a Medida </w:t>
      </w:r>
      <w:r w:rsidRPr="00730AF3">
        <w:rPr>
          <w:rFonts w:ascii="Times New Roman" w:hAnsi="Times New Roman" w:cs="Times New Roman"/>
          <w:sz w:val="24"/>
          <w:szCs w:val="24"/>
        </w:rPr>
        <w:t xml:space="preserve">visa fortalecer as políticas de incentivo à cultura e busca ampliar as possibilidades de financiamento para iniciativas que promovam a diversidade cultural e valorização do patrimônio artístico. </w:t>
      </w:r>
    </w:p>
    <w:p w14:paraId="4DB19FE3" w14:textId="4FBA2CCD" w:rsidR="00730AF3" w:rsidRPr="00730AF3" w:rsidRDefault="00730AF3" w:rsidP="00123B6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30AF3">
        <w:rPr>
          <w:rFonts w:ascii="Times New Roman" w:hAnsi="Times New Roman" w:cs="Times New Roman"/>
          <w:sz w:val="24"/>
          <w:szCs w:val="24"/>
        </w:rPr>
        <w:t xml:space="preserve">Nesse sentido, a ampliação do limite de gastos anuais para projetos cultura, de 0,5% </w:t>
      </w:r>
      <w:proofErr w:type="gramStart"/>
      <w:r w:rsidRPr="00730AF3">
        <w:rPr>
          <w:rFonts w:ascii="Times New Roman" w:hAnsi="Times New Roman" w:cs="Times New Roman"/>
          <w:sz w:val="24"/>
          <w:szCs w:val="24"/>
        </w:rPr>
        <w:t>( cinco</w:t>
      </w:r>
      <w:proofErr w:type="gramEnd"/>
      <w:r w:rsidRPr="00730AF3">
        <w:rPr>
          <w:rFonts w:ascii="Times New Roman" w:hAnsi="Times New Roman" w:cs="Times New Roman"/>
          <w:sz w:val="24"/>
          <w:szCs w:val="24"/>
        </w:rPr>
        <w:t xml:space="preserve"> décimos por cento) para 0,75% </w:t>
      </w:r>
      <w:proofErr w:type="gramStart"/>
      <w:r w:rsidRPr="00730AF3">
        <w:rPr>
          <w:rFonts w:ascii="Times New Roman" w:hAnsi="Times New Roman" w:cs="Times New Roman"/>
          <w:sz w:val="24"/>
          <w:szCs w:val="24"/>
        </w:rPr>
        <w:t>( setenta</w:t>
      </w:r>
      <w:proofErr w:type="gramEnd"/>
      <w:r w:rsidRPr="00730AF3">
        <w:rPr>
          <w:rFonts w:ascii="Times New Roman" w:hAnsi="Times New Roman" w:cs="Times New Roman"/>
          <w:sz w:val="24"/>
          <w:szCs w:val="24"/>
        </w:rPr>
        <w:t xml:space="preserve"> e cinco centésimos por cento) da arrecadação anual do ICMS relativo ao exercício imediatamente anterior, é de extrema importância, vez que permitirá maior suporte a iniciativas culturais, abrangendo projetos de diferentes portes e áreas de atuação. </w:t>
      </w:r>
    </w:p>
    <w:p w14:paraId="73C97450" w14:textId="593A14E4" w:rsidR="00730AF3" w:rsidRPr="00730AF3" w:rsidRDefault="00730AF3" w:rsidP="00730AF3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30AF3">
        <w:rPr>
          <w:rFonts w:ascii="Times New Roman" w:hAnsi="Times New Roman" w:cs="Times New Roman"/>
          <w:sz w:val="24"/>
          <w:szCs w:val="24"/>
        </w:rPr>
        <w:t>Ademais, esse incremento possibilitará a inclusão de novos proponentes e o atendimento de uma demanda crescente de apoio financeiro, em consonância com o limite de 2% que foi definido no Convênio ICMS 77, de 5 de julho de 2019, do qual faz parte o Estado do Maranhão.</w:t>
      </w:r>
    </w:p>
    <w:p w14:paraId="5255CC9A" w14:textId="77777777" w:rsidR="00730AF3" w:rsidRPr="00730AF3" w:rsidRDefault="00730AF3" w:rsidP="00730AF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5FC9034" w14:textId="7250421C" w:rsidR="00454E49" w:rsidRPr="00730AF3" w:rsidRDefault="00454E49" w:rsidP="00730AF3">
      <w:pPr>
        <w:spacing w:after="12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30AF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 xml:space="preserve"> Da Constitucionalidade</w:t>
      </w:r>
    </w:p>
    <w:p w14:paraId="6D77C644" w14:textId="77777777" w:rsidR="00D12994" w:rsidRPr="00730AF3" w:rsidRDefault="00454E49" w:rsidP="005D1F17">
      <w:pPr>
        <w:spacing w:after="12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D12994"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abe </w:t>
      </w:r>
      <w:r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>analisar</w:t>
      </w:r>
      <w:r w:rsidR="00D12994"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aspecto constitucional, inclusive o atendimento dos pressupostos de relevância e urgência, adequação orçamentá</w:t>
      </w:r>
      <w:r w:rsidR="00CC6915"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>ria e financeira, e, por ú</w:t>
      </w:r>
      <w:r w:rsidR="00D12994"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>ltimo</w:t>
      </w:r>
      <w:r w:rsidR="00CC6915"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12994"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mérito, consoante estabelece </w:t>
      </w:r>
      <w:r w:rsidR="005D1F17"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>o art. 42, § 6º, da Constituição Estadual e o</w:t>
      </w:r>
      <w:r w:rsidR="00D12994"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 5º</w:t>
      </w:r>
      <w:r w:rsidR="00CC6915"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12994"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Resolução Legislativa nº 450/2004.</w:t>
      </w:r>
    </w:p>
    <w:p w14:paraId="26FE02A9" w14:textId="77777777" w:rsidR="00820375" w:rsidRPr="00730AF3" w:rsidRDefault="005D1F17" w:rsidP="005D1F17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Quanto à </w:t>
      </w:r>
      <w:r w:rsidRPr="00730AF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constitucionalidade</w:t>
      </w:r>
      <w:r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proposição apresentada, </w:t>
      </w:r>
      <w:r w:rsidR="00820375"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deve-se analisar a possibilidade </w:t>
      </w:r>
      <w:proofErr w:type="gramStart"/>
      <w:r w:rsidR="00820375"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>dos</w:t>
      </w:r>
      <w:proofErr w:type="gramEnd"/>
      <w:r w:rsidR="00820375"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Estados-Membros emitir Medida Provisória. Em seguida, os requisitos formais e materiais da Medida Provisória.</w:t>
      </w:r>
    </w:p>
    <w:p w14:paraId="79B8CCDB" w14:textId="77777777" w:rsidR="00D12994" w:rsidRPr="00730AF3" w:rsidRDefault="00BB2018" w:rsidP="00271746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>É pacífico o</w:t>
      </w:r>
      <w:r w:rsidR="00D12994"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entendimento</w:t>
      </w:r>
      <w:r w:rsidR="009E0CB4"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12994"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  <w:r w:rsidR="00D12994"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Supremo Tribunal Federal</w:t>
      </w:r>
      <w:r w:rsidR="005D1F17"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0375"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5D1F17"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STF</w:t>
      </w:r>
      <w:r w:rsidR="00820375"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12994"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que </w:t>
      </w:r>
      <w:r w:rsidR="00D12994" w:rsidRPr="00730A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os </w:t>
      </w:r>
      <w:r w:rsidR="00820375" w:rsidRPr="00730A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Estados </w:t>
      </w:r>
      <w:r w:rsidR="00D12994" w:rsidRPr="00730A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podem </w:t>
      </w:r>
      <w:r w:rsidR="00820375" w:rsidRPr="00730A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editar Medidas Provisórias desde que haja disposição </w:t>
      </w:r>
      <w:r w:rsidR="00D12994" w:rsidRPr="00730A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em suas Constituições</w:t>
      </w:r>
      <w:r w:rsidR="00820375"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>, e</w:t>
      </w:r>
      <w:r w:rsidR="00BD7C19"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20375"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ainda assim, </w:t>
      </w:r>
      <w:r w:rsidR="00D12994"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>que seja</w:t>
      </w:r>
      <w:r w:rsidR="009E0CB4"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D12994"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observado</w:t>
      </w:r>
      <w:r w:rsidR="009E0CB4"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D12994"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princípios e vedações estabelecidos na Magna Carta: </w:t>
      </w:r>
    </w:p>
    <w:p w14:paraId="4197E7FE" w14:textId="77777777" w:rsidR="00D12994" w:rsidRPr="00730AF3" w:rsidRDefault="00D12994" w:rsidP="00271746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F3">
        <w:rPr>
          <w:rFonts w:ascii="Times New Roman" w:hAnsi="Times New Roman" w:cs="Times New Roman"/>
          <w:color w:val="000000"/>
          <w:sz w:val="24"/>
          <w:szCs w:val="24"/>
        </w:rPr>
        <w:t xml:space="preserve">Adotou-se a orientação fixada pela Corte no julgamento da ADI 425/TO (DJU de 19/2/2003), </w:t>
      </w:r>
      <w:r w:rsidRPr="00730AF3">
        <w:rPr>
          <w:rFonts w:ascii="Times New Roman" w:hAnsi="Times New Roman" w:cs="Times New Roman"/>
          <w:b/>
          <w:color w:val="000000"/>
          <w:sz w:val="24"/>
          <w:szCs w:val="24"/>
        </w:rPr>
        <w:t>no sentido da constitucionalidade da adoção de medida provisória pelos Estados-Membros, desde que esse instrumento esteja expressamente previsto na Constituição estadual e que sejam observados os princípios e as limitações estabelecidos pela Constituição Federal</w:t>
      </w:r>
      <w:r w:rsidRPr="00730AF3">
        <w:rPr>
          <w:rFonts w:ascii="Times New Roman" w:hAnsi="Times New Roman" w:cs="Times New Roman"/>
          <w:color w:val="000000"/>
          <w:sz w:val="24"/>
          <w:szCs w:val="24"/>
        </w:rPr>
        <w:t>. (ADI 2.391, Rel. Min. Ellen Gracie, Informativo 436). No mesmo</w:t>
      </w:r>
      <w:r w:rsidR="005D1F17" w:rsidRPr="00730AF3">
        <w:rPr>
          <w:rFonts w:ascii="Times New Roman" w:hAnsi="Times New Roman" w:cs="Times New Roman"/>
          <w:color w:val="000000"/>
          <w:sz w:val="24"/>
          <w:szCs w:val="24"/>
        </w:rPr>
        <w:t xml:space="preserve"> sentido: ADI 425, DJ 19/12/03. (grifei)</w:t>
      </w:r>
    </w:p>
    <w:p w14:paraId="7BABCD9E" w14:textId="77777777" w:rsidR="00820375" w:rsidRPr="00730AF3" w:rsidRDefault="00820375" w:rsidP="00730AF3">
      <w:pPr>
        <w:pStyle w:val="p13"/>
        <w:tabs>
          <w:tab w:val="left" w:pos="180"/>
        </w:tabs>
        <w:spacing w:after="120" w:line="360" w:lineRule="auto"/>
        <w:ind w:left="0" w:firstLine="426"/>
        <w:rPr>
          <w:color w:val="000000" w:themeColor="text1"/>
          <w:szCs w:val="24"/>
        </w:rPr>
      </w:pPr>
      <w:r w:rsidRPr="00730AF3">
        <w:rPr>
          <w:color w:val="000000" w:themeColor="text1"/>
          <w:szCs w:val="24"/>
        </w:rPr>
        <w:t xml:space="preserve">Assim, </w:t>
      </w:r>
      <w:r w:rsidRPr="00730AF3">
        <w:rPr>
          <w:b/>
          <w:color w:val="000000" w:themeColor="text1"/>
          <w:szCs w:val="24"/>
        </w:rPr>
        <w:t>é perfeitamente possível que os Estados-Membros editem Medidas Provisórias</w:t>
      </w:r>
      <w:r w:rsidRPr="00730AF3">
        <w:rPr>
          <w:color w:val="000000" w:themeColor="text1"/>
          <w:szCs w:val="24"/>
        </w:rPr>
        <w:t>, e, no caso do Estado do Maranhão, há a previsão na Constituição Local, no art. 42, § 1º, acrescido pela Emenda Constitucional nº 38, de 2003:</w:t>
      </w:r>
    </w:p>
    <w:p w14:paraId="08FC1825" w14:textId="77777777" w:rsidR="00820375" w:rsidRPr="00730AF3" w:rsidRDefault="00820375" w:rsidP="00271746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30AF3">
        <w:rPr>
          <w:rFonts w:ascii="Times New Roman" w:hAnsi="Times New Roman" w:cs="Times New Roman"/>
          <w:color w:val="000000"/>
          <w:sz w:val="20"/>
          <w:szCs w:val="20"/>
        </w:rPr>
        <w:t>Art. 42. [...]</w:t>
      </w:r>
    </w:p>
    <w:p w14:paraId="4A36ECBA" w14:textId="77777777" w:rsidR="00820375" w:rsidRDefault="00820375" w:rsidP="00271746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30AF3">
        <w:rPr>
          <w:rFonts w:ascii="Times New Roman" w:hAnsi="Times New Roman" w:cs="Times New Roman"/>
          <w:color w:val="000000"/>
          <w:sz w:val="20"/>
          <w:szCs w:val="20"/>
        </w:rPr>
        <w:t xml:space="preserve">§ 1º Em caso de relevância e urgência o Governador do Estado poderá adotar medidas provisórias, com força de lei, devendo submetê-las de imediato à </w:t>
      </w:r>
      <w:proofErr w:type="spellStart"/>
      <w:r w:rsidRPr="00730AF3">
        <w:rPr>
          <w:rFonts w:ascii="Times New Roman" w:hAnsi="Times New Roman" w:cs="Times New Roman"/>
          <w:color w:val="000000"/>
          <w:sz w:val="20"/>
          <w:szCs w:val="20"/>
        </w:rPr>
        <w:t>Assembléia</w:t>
      </w:r>
      <w:proofErr w:type="spellEnd"/>
      <w:r w:rsidRPr="00730AF3">
        <w:rPr>
          <w:rFonts w:ascii="Times New Roman" w:hAnsi="Times New Roman" w:cs="Times New Roman"/>
          <w:color w:val="000000"/>
          <w:sz w:val="20"/>
          <w:szCs w:val="20"/>
        </w:rPr>
        <w:t xml:space="preserve"> Legislativa, que estando em recesso, será convocada extraordinariamente no prazo de cinco dias. (parágrafo acrescido pela Emenda Constitucional nº 38, de 2003).</w:t>
      </w:r>
    </w:p>
    <w:p w14:paraId="008135F1" w14:textId="77777777" w:rsidR="002A0A7A" w:rsidRDefault="002A0A7A" w:rsidP="00271746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C3E8C6E" w14:textId="77777777" w:rsidR="002A0A7A" w:rsidRDefault="002A0A7A" w:rsidP="00271746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A46010D" w14:textId="77777777" w:rsidR="002A0A7A" w:rsidRDefault="002A0A7A" w:rsidP="00271746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98DDAE9" w14:textId="77777777" w:rsidR="002A0A7A" w:rsidRPr="00730AF3" w:rsidRDefault="002A0A7A" w:rsidP="00271746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A34A941" w14:textId="38A8387B" w:rsidR="00454E49" w:rsidRPr="00730AF3" w:rsidRDefault="00454E49" w:rsidP="00730AF3">
      <w:pPr>
        <w:pStyle w:val="p13"/>
        <w:tabs>
          <w:tab w:val="clear" w:pos="840"/>
          <w:tab w:val="left" w:pos="180"/>
        </w:tabs>
        <w:spacing w:after="120" w:line="360" w:lineRule="auto"/>
        <w:ind w:left="0" w:firstLine="0"/>
        <w:rPr>
          <w:b/>
          <w:color w:val="000000" w:themeColor="text1"/>
          <w:szCs w:val="24"/>
          <w:u w:val="single"/>
        </w:rPr>
      </w:pPr>
      <w:r w:rsidRPr="00730AF3">
        <w:rPr>
          <w:b/>
          <w:color w:val="000000" w:themeColor="text1"/>
          <w:szCs w:val="24"/>
          <w:u w:val="single"/>
        </w:rPr>
        <w:lastRenderedPageBreak/>
        <w:t>Dos Pressupostos de Relevância e Urgência</w:t>
      </w:r>
    </w:p>
    <w:p w14:paraId="29FA075F" w14:textId="77777777" w:rsidR="00820375" w:rsidRPr="00730AF3" w:rsidRDefault="00820375" w:rsidP="005D1F17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AF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Quanto às formalidades</w:t>
      </w:r>
      <w:r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destacadas no dispositivo constitucional citado acima, observa-se que o </w:t>
      </w:r>
      <w:r w:rsidRPr="00730A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detentor da deflagração </w:t>
      </w:r>
      <w:r w:rsidR="00BD7C19" w:rsidRPr="00730A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 ato normativo em análise</w:t>
      </w:r>
      <w:r w:rsidRPr="00730A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é o Chefe do Executivo Estadual</w:t>
      </w:r>
      <w:r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nos mesmos termos previstos para </w:t>
      </w:r>
      <w:r w:rsidR="00BD7C19"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>o de âmbito</w:t>
      </w:r>
      <w:r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federal, obedecendo</w:t>
      </w:r>
      <w:r w:rsidR="00B00ACB"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>-se</w:t>
      </w:r>
      <w:r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princípios da Carta Maior.</w:t>
      </w:r>
    </w:p>
    <w:p w14:paraId="77F99549" w14:textId="77777777" w:rsidR="00BD7C19" w:rsidRPr="00730AF3" w:rsidRDefault="00B00ACB" w:rsidP="00B00ACB">
      <w:pPr>
        <w:spacing w:after="12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Quanto aos pressupostos constitucionais formais de </w:t>
      </w:r>
      <w:r w:rsidRPr="00730AF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relevância e urgência</w:t>
      </w:r>
      <w:r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entende-se que devem ser destacados os mesmos requisitos comuns às medidas cautelares em geral. </w:t>
      </w:r>
      <w:r w:rsidRPr="00730AF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“Para que se legitime a edição de medida provisória, há de estar configurada uma situação em que a demora na produção da norma possa acarretar dano de difícil ou impossível reparação para o interesse público”</w:t>
      </w:r>
      <w:r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(Mendes, Coelho e Branco, Curso de Direito Constitucional, 2009, p. 927)</w:t>
      </w:r>
      <w:r w:rsidR="00BD7C19"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CE10BB1" w14:textId="77777777" w:rsidR="00700843" w:rsidRPr="00730AF3" w:rsidRDefault="00700843" w:rsidP="004B363F">
      <w:pPr>
        <w:spacing w:after="12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>Nas palavras do Ministro Celso de Mello:</w:t>
      </w:r>
    </w:p>
    <w:p w14:paraId="208A5267" w14:textId="77777777" w:rsidR="00700843" w:rsidRPr="00730AF3" w:rsidRDefault="00700843" w:rsidP="004B363F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F3">
        <w:rPr>
          <w:rFonts w:ascii="Times New Roman" w:hAnsi="Times New Roman" w:cs="Times New Roman"/>
          <w:color w:val="000000"/>
          <w:sz w:val="24"/>
          <w:szCs w:val="24"/>
        </w:rPr>
        <w:t xml:space="preserve">O que justifica a edição de </w:t>
      </w:r>
      <w:r w:rsidRPr="00730A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medidas provisórias, com força de lei, em nosso direito constitucional, é a existência de um estado de necessidade que impõe ao Poder Público a adoção imediata de providências, de caráter legislativo, inalcançáveis segundo as regras ordinárias de </w:t>
      </w:r>
      <w:proofErr w:type="spellStart"/>
      <w:r w:rsidRPr="00730AF3">
        <w:rPr>
          <w:rFonts w:ascii="Times New Roman" w:hAnsi="Times New Roman" w:cs="Times New Roman"/>
          <w:b/>
          <w:color w:val="000000"/>
          <w:sz w:val="24"/>
          <w:szCs w:val="24"/>
        </w:rPr>
        <w:t>legiferação</w:t>
      </w:r>
      <w:proofErr w:type="spellEnd"/>
      <w:r w:rsidRPr="00730AF3">
        <w:rPr>
          <w:rFonts w:ascii="Times New Roman" w:hAnsi="Times New Roman" w:cs="Times New Roman"/>
          <w:b/>
          <w:color w:val="000000"/>
          <w:sz w:val="24"/>
          <w:szCs w:val="24"/>
        </w:rPr>
        <w:t>, em face do próprio periculum in mora que fatalmente decorreria do atraso na concretização da prestação legislativa</w:t>
      </w:r>
      <w:r w:rsidRPr="00730AF3">
        <w:rPr>
          <w:rFonts w:ascii="Times New Roman" w:hAnsi="Times New Roman" w:cs="Times New Roman"/>
          <w:color w:val="000000"/>
          <w:sz w:val="24"/>
          <w:szCs w:val="24"/>
        </w:rPr>
        <w:t xml:space="preserve"> (ADI-MC 293, DJ de 16-4-1993) (grifei).</w:t>
      </w:r>
    </w:p>
    <w:p w14:paraId="75880FBB" w14:textId="77777777" w:rsidR="004B363F" w:rsidRPr="00730AF3" w:rsidRDefault="00700843" w:rsidP="004B363F">
      <w:pPr>
        <w:spacing w:after="12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>Nestes termos, o</w:t>
      </w:r>
      <w:r w:rsidR="00B00ACB"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STF esposou entendimento no sentido de que os pressupostos da relevância e urgência são conceitos jurídicos relativamente indeterminados e fluidos, relacionados com o atributo da discricionaried</w:t>
      </w:r>
      <w:r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>ade do Chefe do Poder Executivo:</w:t>
      </w:r>
    </w:p>
    <w:p w14:paraId="7FD082B9" w14:textId="77777777" w:rsidR="00B00ACB" w:rsidRPr="00730AF3" w:rsidRDefault="00B00ACB" w:rsidP="004B4FE3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F3">
        <w:rPr>
          <w:rFonts w:ascii="Times New Roman" w:hAnsi="Times New Roman" w:cs="Times New Roman"/>
          <w:color w:val="000000"/>
          <w:sz w:val="24"/>
          <w:szCs w:val="24"/>
        </w:rPr>
        <w:t xml:space="preserve">AÇÃO DIRETA DE INCONSTITUCIONALIDADE. ARTS. 11 E 18 DA MEDIDA PROVISÓRIA N.º 1.925-5, SUCESSIVAMENTE REEDITADA ATÉ O ADVENTO DA EMENDA CONSTITUCIONAL N.º 32/2001. ALEGADA VIOLAÇÃO AOS ARTS. 5.º, CAPUT; 37, CAPUT, E 62, TODOS DA CONSTITUIÇÃO FEDERAL. Os dispositivos em referência, ao atribuírem aos órgãos de trânsito o registro de ônus reais sobre veículos automotivos de qualquer espécie, não ofendem as normas constitucionais indicadas. </w:t>
      </w:r>
      <w:r w:rsidRPr="00730A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 requisitos de relevância e urgência para edição de medida provisória são de apreciação discricionária do Chefe do Poder Executivo, não cabendo, salvo os casos de excesso de poder, seu exame pelo Poder </w:t>
      </w:r>
      <w:r w:rsidRPr="00730AF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Judiciário. Entendimento assentado na jurisprudência do STF</w:t>
      </w:r>
      <w:r w:rsidRPr="00730AF3">
        <w:rPr>
          <w:rFonts w:ascii="Times New Roman" w:hAnsi="Times New Roman" w:cs="Times New Roman"/>
          <w:color w:val="000000"/>
          <w:sz w:val="24"/>
          <w:szCs w:val="24"/>
        </w:rPr>
        <w:t xml:space="preserve">. Ação julgada improcedente. </w:t>
      </w:r>
      <w:r w:rsidR="00700843" w:rsidRPr="00730AF3">
        <w:rPr>
          <w:rFonts w:ascii="Times New Roman" w:hAnsi="Times New Roman" w:cs="Times New Roman"/>
          <w:color w:val="000000"/>
          <w:sz w:val="24"/>
          <w:szCs w:val="24"/>
        </w:rPr>
        <w:t xml:space="preserve">ADI 2150/DF </w:t>
      </w:r>
      <w:r w:rsidRPr="00730AF3">
        <w:rPr>
          <w:rFonts w:ascii="Times New Roman" w:hAnsi="Times New Roman" w:cs="Times New Roman"/>
          <w:color w:val="000000"/>
          <w:sz w:val="24"/>
          <w:szCs w:val="24"/>
        </w:rPr>
        <w:t>(grifei)</w:t>
      </w:r>
    </w:p>
    <w:p w14:paraId="7D33F4E8" w14:textId="77777777" w:rsidR="00B00ACB" w:rsidRPr="00730AF3" w:rsidRDefault="00B00ACB" w:rsidP="00B00ACB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>A discricionariedade corresponde à conveniência e à oportunidade da edição da Medida Provisória, dentro dos limites legais.</w:t>
      </w:r>
    </w:p>
    <w:p w14:paraId="4D47524E" w14:textId="77777777" w:rsidR="00D12994" w:rsidRPr="00730AF3" w:rsidRDefault="005D1F17" w:rsidP="004B4FE3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D12994"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>ais limitações estão contidas no § 1º, art. 62 da CF, vejamos:</w:t>
      </w:r>
    </w:p>
    <w:p w14:paraId="442D5513" w14:textId="77777777" w:rsidR="005D1F17" w:rsidRPr="00730AF3" w:rsidRDefault="005D1F17" w:rsidP="00271746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F3">
        <w:rPr>
          <w:rFonts w:ascii="Times New Roman" w:hAnsi="Times New Roman" w:cs="Times New Roman"/>
          <w:color w:val="000000"/>
          <w:sz w:val="24"/>
          <w:szCs w:val="24"/>
        </w:rPr>
        <w:t>Art. 62. [...]</w:t>
      </w:r>
    </w:p>
    <w:p w14:paraId="1A259278" w14:textId="77777777" w:rsidR="005D1F17" w:rsidRPr="00730AF3" w:rsidRDefault="00D12994" w:rsidP="00271746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F3">
        <w:rPr>
          <w:rFonts w:ascii="Times New Roman" w:hAnsi="Times New Roman" w:cs="Times New Roman"/>
          <w:color w:val="000000"/>
          <w:sz w:val="24"/>
          <w:szCs w:val="24"/>
        </w:rPr>
        <w:t>§ 1º É vedada a edição de medidas provisórias sobre matéria: (EC nº 32/01).</w:t>
      </w:r>
    </w:p>
    <w:p w14:paraId="2E70D3E5" w14:textId="77777777" w:rsidR="005D1F17" w:rsidRPr="00730AF3" w:rsidRDefault="00D12994" w:rsidP="00271746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F3">
        <w:rPr>
          <w:rFonts w:ascii="Times New Roman" w:hAnsi="Times New Roman" w:cs="Times New Roman"/>
          <w:color w:val="000000"/>
          <w:sz w:val="24"/>
          <w:szCs w:val="24"/>
        </w:rPr>
        <w:t xml:space="preserve">I - </w:t>
      </w:r>
      <w:proofErr w:type="gramStart"/>
      <w:r w:rsidRPr="00730AF3">
        <w:rPr>
          <w:rFonts w:ascii="Times New Roman" w:hAnsi="Times New Roman" w:cs="Times New Roman"/>
          <w:color w:val="000000"/>
          <w:sz w:val="24"/>
          <w:szCs w:val="24"/>
        </w:rPr>
        <w:t>relativa</w:t>
      </w:r>
      <w:proofErr w:type="gramEnd"/>
      <w:r w:rsidRPr="00730AF3">
        <w:rPr>
          <w:rFonts w:ascii="Times New Roman" w:hAnsi="Times New Roman" w:cs="Times New Roman"/>
          <w:color w:val="000000"/>
          <w:sz w:val="24"/>
          <w:szCs w:val="24"/>
        </w:rPr>
        <w:t xml:space="preserve"> a: (EC nº 32/01)</w:t>
      </w:r>
    </w:p>
    <w:p w14:paraId="397DCAEA" w14:textId="77777777" w:rsidR="005D1F17" w:rsidRPr="00730AF3" w:rsidRDefault="00D12994" w:rsidP="00271746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F3">
        <w:rPr>
          <w:rFonts w:ascii="Times New Roman" w:hAnsi="Times New Roman" w:cs="Times New Roman"/>
          <w:color w:val="000000"/>
          <w:sz w:val="24"/>
          <w:szCs w:val="24"/>
        </w:rPr>
        <w:t>a) nacionalidade, cidadania, direitos políticos, partidos políticos e direito eleitoral; (EC nº 32/01)</w:t>
      </w:r>
    </w:p>
    <w:p w14:paraId="29DE3ADE" w14:textId="77777777" w:rsidR="005D1F17" w:rsidRPr="00730AF3" w:rsidRDefault="00D12994" w:rsidP="00271746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F3">
        <w:rPr>
          <w:rFonts w:ascii="Times New Roman" w:hAnsi="Times New Roman" w:cs="Times New Roman"/>
          <w:color w:val="000000"/>
          <w:sz w:val="24"/>
          <w:szCs w:val="24"/>
        </w:rPr>
        <w:t>b) direito penal, processual penal e processual civil; (EC nº 32/01)</w:t>
      </w:r>
    </w:p>
    <w:p w14:paraId="4D85118B" w14:textId="77777777" w:rsidR="005D1F17" w:rsidRPr="00730AF3" w:rsidRDefault="00D12994" w:rsidP="00271746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F3">
        <w:rPr>
          <w:rFonts w:ascii="Times New Roman" w:hAnsi="Times New Roman" w:cs="Times New Roman"/>
          <w:color w:val="000000"/>
          <w:sz w:val="24"/>
          <w:szCs w:val="24"/>
        </w:rPr>
        <w:t>c) organização do Poder Judiciário e do Ministério Público, a carreira e a garantia de seus membros; (EC nº 32/01)</w:t>
      </w:r>
    </w:p>
    <w:p w14:paraId="04FED27F" w14:textId="77777777" w:rsidR="005D1F17" w:rsidRPr="00730AF3" w:rsidRDefault="00D12994" w:rsidP="00271746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F3">
        <w:rPr>
          <w:rFonts w:ascii="Times New Roman" w:hAnsi="Times New Roman" w:cs="Times New Roman"/>
          <w:color w:val="000000"/>
          <w:sz w:val="24"/>
          <w:szCs w:val="24"/>
        </w:rPr>
        <w:t>d) planos plurianuais, diretrizes orçamentárias, orçamento e créditos adicionais e suplementares, ressalvado o previsto no art. 167, § 3º; (EC nº 32/01)</w:t>
      </w:r>
    </w:p>
    <w:p w14:paraId="3EDE132D" w14:textId="77777777" w:rsidR="005D1F17" w:rsidRPr="00730AF3" w:rsidRDefault="00D12994" w:rsidP="00271746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F3">
        <w:rPr>
          <w:rFonts w:ascii="Times New Roman" w:hAnsi="Times New Roman" w:cs="Times New Roman"/>
          <w:color w:val="000000"/>
          <w:sz w:val="24"/>
          <w:szCs w:val="24"/>
        </w:rPr>
        <w:t xml:space="preserve">II - </w:t>
      </w:r>
      <w:proofErr w:type="gramStart"/>
      <w:r w:rsidRPr="00730AF3">
        <w:rPr>
          <w:rFonts w:ascii="Times New Roman" w:hAnsi="Times New Roman" w:cs="Times New Roman"/>
          <w:color w:val="000000"/>
          <w:sz w:val="24"/>
          <w:szCs w:val="24"/>
        </w:rPr>
        <w:t>que</w:t>
      </w:r>
      <w:proofErr w:type="gramEnd"/>
      <w:r w:rsidRPr="00730AF3">
        <w:rPr>
          <w:rFonts w:ascii="Times New Roman" w:hAnsi="Times New Roman" w:cs="Times New Roman"/>
          <w:color w:val="000000"/>
          <w:sz w:val="24"/>
          <w:szCs w:val="24"/>
        </w:rPr>
        <w:t xml:space="preserve"> vise a detenção ou </w:t>
      </w:r>
      <w:proofErr w:type="spellStart"/>
      <w:r w:rsidRPr="00730AF3">
        <w:rPr>
          <w:rFonts w:ascii="Times New Roman" w:hAnsi="Times New Roman" w:cs="Times New Roman"/>
          <w:color w:val="000000"/>
          <w:sz w:val="24"/>
          <w:szCs w:val="24"/>
        </w:rPr>
        <w:t>seqüestro</w:t>
      </w:r>
      <w:proofErr w:type="spellEnd"/>
      <w:r w:rsidRPr="00730AF3">
        <w:rPr>
          <w:rFonts w:ascii="Times New Roman" w:hAnsi="Times New Roman" w:cs="Times New Roman"/>
          <w:color w:val="000000"/>
          <w:sz w:val="24"/>
          <w:szCs w:val="24"/>
        </w:rPr>
        <w:t xml:space="preserve"> de bens, de poupança popular ou qualquer outro ativo financeiro; (EC nº 32/01)</w:t>
      </w:r>
    </w:p>
    <w:p w14:paraId="6892724C" w14:textId="77777777" w:rsidR="005D1F17" w:rsidRPr="00730AF3" w:rsidRDefault="00D12994" w:rsidP="00271746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F3">
        <w:rPr>
          <w:rFonts w:ascii="Times New Roman" w:hAnsi="Times New Roman" w:cs="Times New Roman"/>
          <w:color w:val="000000"/>
          <w:sz w:val="24"/>
          <w:szCs w:val="24"/>
        </w:rPr>
        <w:t>III - reservada a lei complementar; (EC nº 32/01)</w:t>
      </w:r>
    </w:p>
    <w:p w14:paraId="5537BC5A" w14:textId="77777777" w:rsidR="00D12994" w:rsidRPr="00730AF3" w:rsidRDefault="00D12994" w:rsidP="004B4FE3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F3">
        <w:rPr>
          <w:rFonts w:ascii="Times New Roman" w:hAnsi="Times New Roman" w:cs="Times New Roman"/>
          <w:color w:val="000000"/>
          <w:sz w:val="24"/>
          <w:szCs w:val="24"/>
        </w:rPr>
        <w:t xml:space="preserve">IV - </w:t>
      </w:r>
      <w:proofErr w:type="gramStart"/>
      <w:r w:rsidRPr="00730AF3">
        <w:rPr>
          <w:rFonts w:ascii="Times New Roman" w:hAnsi="Times New Roman" w:cs="Times New Roman"/>
          <w:color w:val="000000"/>
          <w:sz w:val="24"/>
          <w:szCs w:val="24"/>
        </w:rPr>
        <w:t>já</w:t>
      </w:r>
      <w:proofErr w:type="gramEnd"/>
      <w:r w:rsidRPr="00730AF3">
        <w:rPr>
          <w:rFonts w:ascii="Times New Roman" w:hAnsi="Times New Roman" w:cs="Times New Roman"/>
          <w:color w:val="000000"/>
          <w:sz w:val="24"/>
          <w:szCs w:val="24"/>
        </w:rPr>
        <w:t xml:space="preserve"> disciplinada em projeto de lei aprovado pelo Congresso Nacional e pendente de sanção ou veto do Presidente da República. (EC nº 32/01)</w:t>
      </w:r>
    </w:p>
    <w:p w14:paraId="5641B45E" w14:textId="77777777" w:rsidR="00D12994" w:rsidRPr="00730AF3" w:rsidRDefault="00D12994" w:rsidP="004B4FE3">
      <w:pPr>
        <w:pStyle w:val="p13"/>
        <w:tabs>
          <w:tab w:val="left" w:pos="180"/>
        </w:tabs>
        <w:spacing w:after="120" w:line="360" w:lineRule="auto"/>
        <w:ind w:left="0" w:firstLine="1134"/>
        <w:rPr>
          <w:color w:val="000000" w:themeColor="text1"/>
          <w:szCs w:val="24"/>
        </w:rPr>
      </w:pPr>
      <w:r w:rsidRPr="00730AF3">
        <w:rPr>
          <w:color w:val="000000" w:themeColor="text1"/>
          <w:szCs w:val="24"/>
        </w:rPr>
        <w:t xml:space="preserve">No âmbito Estadual, </w:t>
      </w:r>
      <w:r w:rsidR="00700843" w:rsidRPr="00730AF3">
        <w:rPr>
          <w:color w:val="000000" w:themeColor="text1"/>
          <w:szCs w:val="24"/>
        </w:rPr>
        <w:t>as mesmas limitações estão contidas no § 2º, do art. 42</w:t>
      </w:r>
      <w:r w:rsidR="00820375" w:rsidRPr="00730AF3">
        <w:rPr>
          <w:color w:val="000000" w:themeColor="text1"/>
          <w:szCs w:val="24"/>
        </w:rPr>
        <w:t>,</w:t>
      </w:r>
      <w:r w:rsidR="005D1F17" w:rsidRPr="00730AF3">
        <w:rPr>
          <w:color w:val="000000" w:themeColor="text1"/>
          <w:szCs w:val="24"/>
        </w:rPr>
        <w:t xml:space="preserve"> da </w:t>
      </w:r>
      <w:r w:rsidR="00700843" w:rsidRPr="00730AF3">
        <w:rPr>
          <w:color w:val="000000" w:themeColor="text1"/>
          <w:szCs w:val="24"/>
        </w:rPr>
        <w:t>Carta Local</w:t>
      </w:r>
      <w:r w:rsidRPr="00730AF3">
        <w:rPr>
          <w:color w:val="000000" w:themeColor="text1"/>
          <w:szCs w:val="24"/>
        </w:rPr>
        <w:t>:</w:t>
      </w:r>
    </w:p>
    <w:p w14:paraId="31B154AA" w14:textId="77777777" w:rsidR="00D12994" w:rsidRPr="00730AF3" w:rsidRDefault="00D12994" w:rsidP="00271746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F3">
        <w:rPr>
          <w:rFonts w:ascii="Times New Roman" w:hAnsi="Times New Roman" w:cs="Times New Roman"/>
          <w:color w:val="000000"/>
          <w:sz w:val="24"/>
          <w:szCs w:val="24"/>
        </w:rPr>
        <w:t>Art. 42</w:t>
      </w:r>
      <w:r w:rsidR="005D1F17" w:rsidRPr="00730AF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30A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0375" w:rsidRPr="00730AF3">
        <w:rPr>
          <w:rFonts w:ascii="Times New Roman" w:hAnsi="Times New Roman" w:cs="Times New Roman"/>
          <w:color w:val="000000"/>
          <w:sz w:val="24"/>
          <w:szCs w:val="24"/>
        </w:rPr>
        <w:t>[...]</w:t>
      </w:r>
    </w:p>
    <w:p w14:paraId="7B09C16A" w14:textId="77777777" w:rsidR="005D1F17" w:rsidRPr="00730AF3" w:rsidRDefault="00D12994" w:rsidP="00271746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F3">
        <w:rPr>
          <w:rFonts w:ascii="Times New Roman" w:hAnsi="Times New Roman" w:cs="Times New Roman"/>
          <w:color w:val="000000"/>
          <w:sz w:val="24"/>
          <w:szCs w:val="24"/>
        </w:rPr>
        <w:t>§ 2º É vedada a edição de medidas provisórias sobre matéria:</w:t>
      </w:r>
    </w:p>
    <w:p w14:paraId="404E0089" w14:textId="77777777" w:rsidR="005D1F17" w:rsidRPr="00730AF3" w:rsidRDefault="00D12994" w:rsidP="00271746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F3">
        <w:rPr>
          <w:rFonts w:ascii="Times New Roman" w:hAnsi="Times New Roman" w:cs="Times New Roman"/>
          <w:color w:val="000000"/>
          <w:sz w:val="24"/>
          <w:szCs w:val="24"/>
        </w:rPr>
        <w:t xml:space="preserve">I - </w:t>
      </w:r>
      <w:proofErr w:type="gramStart"/>
      <w:r w:rsidRPr="00730AF3">
        <w:rPr>
          <w:rFonts w:ascii="Times New Roman" w:hAnsi="Times New Roman" w:cs="Times New Roman"/>
          <w:color w:val="000000"/>
          <w:sz w:val="24"/>
          <w:szCs w:val="24"/>
        </w:rPr>
        <w:t>relativa</w:t>
      </w:r>
      <w:proofErr w:type="gramEnd"/>
      <w:r w:rsidRPr="00730AF3">
        <w:rPr>
          <w:rFonts w:ascii="Times New Roman" w:hAnsi="Times New Roman" w:cs="Times New Roman"/>
          <w:color w:val="000000"/>
          <w:sz w:val="24"/>
          <w:szCs w:val="24"/>
        </w:rPr>
        <w:t xml:space="preserve"> a:</w:t>
      </w:r>
    </w:p>
    <w:p w14:paraId="0B775985" w14:textId="77777777" w:rsidR="005D1F17" w:rsidRPr="00730AF3" w:rsidRDefault="00D12994" w:rsidP="00271746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F3">
        <w:rPr>
          <w:rFonts w:ascii="Times New Roman" w:hAnsi="Times New Roman" w:cs="Times New Roman"/>
          <w:color w:val="000000"/>
          <w:sz w:val="24"/>
          <w:szCs w:val="24"/>
        </w:rPr>
        <w:t>a) organização do Poder Judiciário e do Ministério Público, a carreira e garantia de seus membros;</w:t>
      </w:r>
    </w:p>
    <w:p w14:paraId="7CB1FD4F" w14:textId="77777777" w:rsidR="005D1F17" w:rsidRPr="00730AF3" w:rsidRDefault="00D12994" w:rsidP="00271746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F3">
        <w:rPr>
          <w:rFonts w:ascii="Times New Roman" w:hAnsi="Times New Roman" w:cs="Times New Roman"/>
          <w:color w:val="000000"/>
          <w:sz w:val="24"/>
          <w:szCs w:val="24"/>
        </w:rPr>
        <w:lastRenderedPageBreak/>
        <w:t>b) planos plurianuais, diretrizes orçamentárias, orçamento e créditos adicionais e suplementares, ressalvado o disposto no art. 138, § 3º;</w:t>
      </w:r>
    </w:p>
    <w:p w14:paraId="534FB02A" w14:textId="77777777" w:rsidR="005D1F17" w:rsidRPr="00730AF3" w:rsidRDefault="00D12994" w:rsidP="00271746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F3">
        <w:rPr>
          <w:rFonts w:ascii="Times New Roman" w:hAnsi="Times New Roman" w:cs="Times New Roman"/>
          <w:color w:val="000000"/>
          <w:sz w:val="24"/>
          <w:szCs w:val="24"/>
        </w:rPr>
        <w:t xml:space="preserve">II - </w:t>
      </w:r>
      <w:proofErr w:type="gramStart"/>
      <w:r w:rsidRPr="00730AF3">
        <w:rPr>
          <w:rFonts w:ascii="Times New Roman" w:hAnsi="Times New Roman" w:cs="Times New Roman"/>
          <w:color w:val="000000"/>
          <w:sz w:val="24"/>
          <w:szCs w:val="24"/>
        </w:rPr>
        <w:t>reservada</w:t>
      </w:r>
      <w:proofErr w:type="gramEnd"/>
      <w:r w:rsidRPr="00730AF3">
        <w:rPr>
          <w:rFonts w:ascii="Times New Roman" w:hAnsi="Times New Roman" w:cs="Times New Roman"/>
          <w:color w:val="000000"/>
          <w:sz w:val="24"/>
          <w:szCs w:val="24"/>
        </w:rPr>
        <w:t xml:space="preserve"> à lei complementar;</w:t>
      </w:r>
    </w:p>
    <w:p w14:paraId="33262DD3" w14:textId="77777777" w:rsidR="00D12994" w:rsidRPr="00730AF3" w:rsidRDefault="00D12994" w:rsidP="004B4FE3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F3">
        <w:rPr>
          <w:rFonts w:ascii="Times New Roman" w:hAnsi="Times New Roman" w:cs="Times New Roman"/>
          <w:color w:val="000000"/>
          <w:sz w:val="24"/>
          <w:szCs w:val="24"/>
        </w:rPr>
        <w:t xml:space="preserve">III - já disciplinada em projeto de lei aprovado pela </w:t>
      </w:r>
      <w:proofErr w:type="spellStart"/>
      <w:r w:rsidRPr="00730AF3">
        <w:rPr>
          <w:rFonts w:ascii="Times New Roman" w:hAnsi="Times New Roman" w:cs="Times New Roman"/>
          <w:color w:val="000000"/>
          <w:sz w:val="24"/>
          <w:szCs w:val="24"/>
        </w:rPr>
        <w:t>Assembléia</w:t>
      </w:r>
      <w:proofErr w:type="spellEnd"/>
      <w:r w:rsidRPr="00730AF3">
        <w:rPr>
          <w:rFonts w:ascii="Times New Roman" w:hAnsi="Times New Roman" w:cs="Times New Roman"/>
          <w:color w:val="000000"/>
          <w:sz w:val="24"/>
          <w:szCs w:val="24"/>
        </w:rPr>
        <w:t xml:space="preserve"> Legislativa e pendente de sanção o</w:t>
      </w:r>
      <w:r w:rsidR="005D1F17" w:rsidRPr="00730AF3">
        <w:rPr>
          <w:rFonts w:ascii="Times New Roman" w:hAnsi="Times New Roman" w:cs="Times New Roman"/>
          <w:color w:val="000000"/>
          <w:sz w:val="24"/>
          <w:szCs w:val="24"/>
        </w:rPr>
        <w:t>u veto do Governador do Estado.</w:t>
      </w:r>
    </w:p>
    <w:p w14:paraId="5AB8C713" w14:textId="77777777" w:rsidR="00271746" w:rsidRPr="00730AF3" w:rsidRDefault="00271746" w:rsidP="00CE6F00">
      <w:pPr>
        <w:pStyle w:val="p13"/>
        <w:tabs>
          <w:tab w:val="left" w:pos="180"/>
        </w:tabs>
        <w:spacing w:after="120" w:line="360" w:lineRule="auto"/>
        <w:ind w:left="0" w:firstLine="1134"/>
        <w:rPr>
          <w:color w:val="000000" w:themeColor="text1"/>
          <w:szCs w:val="24"/>
        </w:rPr>
      </w:pPr>
      <w:r w:rsidRPr="00730AF3">
        <w:rPr>
          <w:szCs w:val="24"/>
        </w:rPr>
        <w:t>Em sintonia com isso, a iniciativa reservada (privativa) do Chefe do Poder Executiva Estadual encontra-se no art. 43 da Constituição Estadual. Senão vejamos:</w:t>
      </w:r>
    </w:p>
    <w:p w14:paraId="7DBA126B" w14:textId="77777777" w:rsidR="00271746" w:rsidRPr="00730AF3" w:rsidRDefault="00271746" w:rsidP="00271746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F3">
        <w:rPr>
          <w:rFonts w:ascii="Times New Roman" w:hAnsi="Times New Roman" w:cs="Times New Roman"/>
          <w:color w:val="000000"/>
          <w:sz w:val="24"/>
          <w:szCs w:val="24"/>
        </w:rPr>
        <w:t xml:space="preserve"> “São de iniciativa privativa do Governador do Estado as leis que disponham sobre:”</w:t>
      </w:r>
    </w:p>
    <w:p w14:paraId="66619000" w14:textId="77777777" w:rsidR="00271746" w:rsidRPr="00730AF3" w:rsidRDefault="00271746" w:rsidP="00271746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F3">
        <w:rPr>
          <w:rFonts w:ascii="Times New Roman" w:hAnsi="Times New Roman" w:cs="Times New Roman"/>
          <w:color w:val="000000"/>
          <w:sz w:val="24"/>
          <w:szCs w:val="24"/>
        </w:rPr>
        <w:t>(...)</w:t>
      </w:r>
    </w:p>
    <w:p w14:paraId="47DE3707" w14:textId="77777777" w:rsidR="00271746" w:rsidRPr="00730AF3" w:rsidRDefault="00271746" w:rsidP="00271746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0AF3">
        <w:rPr>
          <w:rFonts w:ascii="Times New Roman" w:hAnsi="Times New Roman" w:cs="Times New Roman"/>
          <w:b/>
          <w:color w:val="000000"/>
          <w:sz w:val="24"/>
          <w:szCs w:val="24"/>
        </w:rPr>
        <w:t>III – organização administrativa e matéria orçamentária.</w:t>
      </w:r>
    </w:p>
    <w:p w14:paraId="32F1D804" w14:textId="77777777" w:rsidR="00271746" w:rsidRPr="00730AF3" w:rsidRDefault="00271746" w:rsidP="00271746">
      <w:pPr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F3">
        <w:rPr>
          <w:rFonts w:ascii="Times New Roman" w:hAnsi="Times New Roman" w:cs="Times New Roman"/>
          <w:color w:val="000000"/>
          <w:sz w:val="24"/>
          <w:szCs w:val="24"/>
        </w:rPr>
        <w:t>(...)</w:t>
      </w:r>
    </w:p>
    <w:p w14:paraId="22E0287D" w14:textId="77777777" w:rsidR="00271746" w:rsidRPr="00730AF3" w:rsidRDefault="00271746" w:rsidP="00271746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AF3">
        <w:rPr>
          <w:rFonts w:ascii="Times New Roman" w:hAnsi="Times New Roman" w:cs="Times New Roman"/>
          <w:sz w:val="24"/>
          <w:szCs w:val="24"/>
        </w:rPr>
        <w:t>Oportuna, como sempre, a lição de CARRAZA (2011, p. 304-305, Curso de Direito Constitucional Tributário), “</w:t>
      </w:r>
      <w:r w:rsidRPr="00730AF3">
        <w:rPr>
          <w:rFonts w:ascii="Times New Roman" w:hAnsi="Times New Roman" w:cs="Times New Roman"/>
          <w:color w:val="000000"/>
          <w:sz w:val="24"/>
          <w:szCs w:val="24"/>
        </w:rPr>
        <w:t xml:space="preserve">Ora, </w:t>
      </w:r>
      <w:r w:rsidRPr="00730A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só o chefe do Poder Executivo – Senhor do Erário e de suas conveniências – reúne condições objetiva para aquilatar os efeitos que, leis deste tipo, produzirão nas finanças públicas sob </w:t>
      </w:r>
      <w:proofErr w:type="spellStart"/>
      <w:r w:rsidRPr="00730AF3">
        <w:rPr>
          <w:rFonts w:ascii="Times New Roman" w:hAnsi="Times New Roman" w:cs="Times New Roman"/>
          <w:b/>
          <w:color w:val="000000"/>
          <w:sz w:val="24"/>
          <w:szCs w:val="24"/>
        </w:rPr>
        <w:t>suas</w:t>
      </w:r>
      <w:proofErr w:type="spellEnd"/>
      <w:r w:rsidRPr="00730A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guarda e superior responsabilidade</w:t>
      </w:r>
      <w:r w:rsidRPr="00730AF3">
        <w:rPr>
          <w:rFonts w:ascii="Times New Roman" w:hAnsi="Times New Roman" w:cs="Times New Roman"/>
          <w:color w:val="000000"/>
          <w:sz w:val="24"/>
          <w:szCs w:val="24"/>
        </w:rPr>
        <w:t>. Assim, nada poder ser alterado, nesta matéria, sem sua prévia anuência (...)”</w:t>
      </w:r>
      <w:r w:rsidR="00224A8F" w:rsidRPr="00730AF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7E092D" w14:textId="77777777" w:rsidR="00454E49" w:rsidRPr="00730AF3" w:rsidRDefault="00271746" w:rsidP="00CE6F0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30AF3">
        <w:rPr>
          <w:rFonts w:ascii="Times New Roman" w:hAnsi="Times New Roman" w:cs="Times New Roman"/>
          <w:sz w:val="24"/>
          <w:szCs w:val="24"/>
        </w:rPr>
        <w:t>Assim sendo, não há qualque</w:t>
      </w:r>
      <w:r w:rsidR="00CE6F00" w:rsidRPr="00730AF3">
        <w:rPr>
          <w:rFonts w:ascii="Times New Roman" w:hAnsi="Times New Roman" w:cs="Times New Roman"/>
          <w:sz w:val="24"/>
          <w:szCs w:val="24"/>
        </w:rPr>
        <w:t xml:space="preserve">r óbice quanto </w:t>
      </w:r>
      <w:r w:rsidR="00224A8F" w:rsidRPr="00730AF3">
        <w:rPr>
          <w:rFonts w:ascii="Times New Roman" w:hAnsi="Times New Roman" w:cs="Times New Roman"/>
          <w:sz w:val="24"/>
          <w:szCs w:val="24"/>
        </w:rPr>
        <w:t>à inciativa legislativa objeto da Medida Provisória.</w:t>
      </w:r>
    </w:p>
    <w:p w14:paraId="01CAD3F2" w14:textId="7BE58999" w:rsidR="00454E49" w:rsidRPr="00730AF3" w:rsidRDefault="00454E49" w:rsidP="00730AF3">
      <w:pPr>
        <w:autoSpaceDE w:val="0"/>
        <w:autoSpaceDN w:val="0"/>
        <w:adjustRightInd w:val="0"/>
        <w:spacing w:after="120" w:line="360" w:lineRule="auto"/>
        <w:ind w:hanging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30AF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Do Mérito</w:t>
      </w:r>
    </w:p>
    <w:p w14:paraId="54EC449D" w14:textId="5DC4E430" w:rsidR="00454E49" w:rsidRPr="00730AF3" w:rsidRDefault="00454E49" w:rsidP="004B4FE3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730AF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conteúdo</w:t>
      </w:r>
      <w:r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r w:rsidR="00803832" w:rsidRPr="00730A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Medida Provisória nº </w:t>
      </w:r>
      <w:r w:rsidR="00481B21" w:rsidRPr="00730A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EE7F05" w:rsidRPr="00730A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77</w:t>
      </w:r>
      <w:r w:rsidR="00803832" w:rsidRPr="00730A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</w:t>
      </w:r>
      <w:r w:rsidR="00481B21" w:rsidRPr="00730A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EE7F05" w:rsidRPr="00730A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730A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demonstra a natureza relevante da matéria legislada, bem como a urgência na adoção imediata da providência contida na proposição, </w:t>
      </w:r>
      <w:r w:rsidR="0067262C"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>uma vez que a</w:t>
      </w:r>
      <w:r w:rsidR="005F0E23"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medida </w:t>
      </w:r>
      <w:r w:rsidR="00417F4D"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CE6F00"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governo possui por escopo</w:t>
      </w:r>
      <w:r w:rsidR="00EE7F05"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fomentar as políticas de cultura no estado</w:t>
      </w:r>
      <w:r w:rsidR="00CE6F00"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1A87779" w14:textId="77777777" w:rsidR="007D215C" w:rsidRDefault="007D215C" w:rsidP="005D1F17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020F301A" w14:textId="77777777" w:rsidR="00730AF3" w:rsidRPr="00730AF3" w:rsidRDefault="00730AF3" w:rsidP="005D1F17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19ECD42" w14:textId="77777777" w:rsidR="00730AF3" w:rsidRPr="00730AF3" w:rsidRDefault="00730AF3" w:rsidP="00730A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AF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VOTO DO RELATOR</w:t>
      </w:r>
      <w:r w:rsidRPr="00730AF3">
        <w:rPr>
          <w:rFonts w:ascii="Times New Roman" w:hAnsi="Times New Roman" w:cs="Times New Roman"/>
          <w:b/>
          <w:sz w:val="24"/>
          <w:szCs w:val="24"/>
        </w:rPr>
        <w:t>:</w:t>
      </w:r>
    </w:p>
    <w:p w14:paraId="24950D2E" w14:textId="29A821BD" w:rsidR="00D12994" w:rsidRPr="00730AF3" w:rsidRDefault="00D12994" w:rsidP="005D1F17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Pelo exposto, </w:t>
      </w:r>
      <w:r w:rsidRPr="00730A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concluo pela admissibilidade da Medida Provisória </w:t>
      </w:r>
      <w:r w:rsidR="00730A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</w:t>
      </w:r>
      <w:r w:rsidRPr="00730A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nº</w:t>
      </w:r>
      <w:r w:rsidR="00D93FF2" w:rsidRPr="00730A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4</w:t>
      </w:r>
      <w:r w:rsidR="00EE7F05" w:rsidRPr="00730A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77</w:t>
      </w:r>
      <w:r w:rsidR="00803832" w:rsidRPr="00730A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</w:t>
      </w:r>
      <w:r w:rsidR="00D93FF2" w:rsidRPr="00730A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EE7F05" w:rsidRPr="00730A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730A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>considerando atendidos os pressupostos de relevância e urgência. Além disso, deve ser consignado que a matéria tratad</w:t>
      </w:r>
      <w:r w:rsidR="00751D9D"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>a no corpo da Medida Provisória</w:t>
      </w:r>
      <w:r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não encontra vedação constitucional.</w:t>
      </w:r>
    </w:p>
    <w:p w14:paraId="4ED69D76" w14:textId="7213DE81" w:rsidR="00730AF3" w:rsidRPr="00730AF3" w:rsidRDefault="00730AF3" w:rsidP="002A0A7A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AF3">
        <w:rPr>
          <w:rFonts w:ascii="Times New Roman" w:hAnsi="Times New Roman" w:cs="Times New Roman"/>
          <w:color w:val="000000" w:themeColor="text1"/>
          <w:sz w:val="24"/>
          <w:szCs w:val="24"/>
        </w:rPr>
        <w:t>É o voto.</w:t>
      </w:r>
    </w:p>
    <w:p w14:paraId="66EEBA2E" w14:textId="77777777" w:rsidR="00730AF3" w:rsidRPr="00730AF3" w:rsidRDefault="00730AF3" w:rsidP="00730AF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730A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PARECER DA COMISSÃO:</w:t>
      </w:r>
    </w:p>
    <w:p w14:paraId="6F695F15" w14:textId="41E9D6E9" w:rsidR="00730AF3" w:rsidRPr="00730AF3" w:rsidRDefault="00730AF3" w:rsidP="00730AF3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0A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membros da Comissão de Constituição, Justiça e Cidadania votam pela </w:t>
      </w:r>
      <w:r w:rsidRPr="00730A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aprovação da Medida Provisória nº 477/2025</w:t>
      </w:r>
      <w:r w:rsidRPr="00730AF3">
        <w:rPr>
          <w:rFonts w:ascii="Times New Roman" w:eastAsia="Times New Roman" w:hAnsi="Times New Roman" w:cs="Times New Roman"/>
          <w:sz w:val="24"/>
          <w:szCs w:val="24"/>
          <w:lang w:eastAsia="pt-BR"/>
        </w:rPr>
        <w:t>, nos termos do voto do Relator.</w:t>
      </w:r>
    </w:p>
    <w:p w14:paraId="3871A9CE" w14:textId="77777777" w:rsidR="00730AF3" w:rsidRPr="00730AF3" w:rsidRDefault="00730AF3" w:rsidP="00730AF3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30AF3">
        <w:rPr>
          <w:rFonts w:ascii="Times New Roman" w:eastAsia="Times New Roman" w:hAnsi="Times New Roman" w:cs="Times New Roman"/>
          <w:sz w:val="24"/>
          <w:szCs w:val="24"/>
          <w:lang w:eastAsia="pt-BR"/>
        </w:rPr>
        <w:t>É o parecer.</w:t>
      </w:r>
    </w:p>
    <w:p w14:paraId="7B8C235E" w14:textId="0E00BF46" w:rsidR="00730AF3" w:rsidRPr="00730AF3" w:rsidRDefault="00730AF3" w:rsidP="00730AF3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AF3">
        <w:rPr>
          <w:rFonts w:ascii="Times New Roman" w:eastAsia="Calibri" w:hAnsi="Times New Roman" w:cs="Times New Roman"/>
          <w:sz w:val="24"/>
          <w:szCs w:val="24"/>
        </w:rPr>
        <w:t>SALA DAS COMISSÕES “DEPUTADO LÉO FRANKLIM”, em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476B">
        <w:rPr>
          <w:rFonts w:ascii="Times New Roman" w:eastAsia="Calibri" w:hAnsi="Times New Roman" w:cs="Times New Roman"/>
          <w:sz w:val="24"/>
          <w:szCs w:val="24"/>
        </w:rPr>
        <w:t>0</w:t>
      </w:r>
      <w:r w:rsidR="002A0A7A">
        <w:rPr>
          <w:rFonts w:ascii="Times New Roman" w:eastAsia="Calibri" w:hAnsi="Times New Roman" w:cs="Times New Roman"/>
          <w:sz w:val="24"/>
          <w:szCs w:val="24"/>
        </w:rPr>
        <w:t>8</w:t>
      </w:r>
      <w:r w:rsidRPr="00730AF3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>
        <w:rPr>
          <w:rFonts w:ascii="Times New Roman" w:eastAsia="Calibri" w:hAnsi="Times New Roman" w:cs="Times New Roman"/>
          <w:sz w:val="24"/>
          <w:szCs w:val="24"/>
        </w:rPr>
        <w:t>abril</w:t>
      </w:r>
      <w:r w:rsidRPr="00730AF3">
        <w:rPr>
          <w:rFonts w:ascii="Times New Roman" w:eastAsia="Calibri" w:hAnsi="Times New Roman" w:cs="Times New Roman"/>
          <w:sz w:val="24"/>
          <w:szCs w:val="24"/>
        </w:rPr>
        <w:t xml:space="preserve"> de 2025.  </w:t>
      </w:r>
    </w:p>
    <w:p w14:paraId="4A35BDB1" w14:textId="36D2A477" w:rsidR="00730AF3" w:rsidRPr="00730AF3" w:rsidRDefault="00730AF3" w:rsidP="00730AF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30A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0A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</w:t>
      </w:r>
      <w:r w:rsidRPr="00730AF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730AF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Presidente</w:t>
      </w:r>
      <w:r w:rsidR="0092476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: </w:t>
      </w:r>
      <w:r w:rsidR="0092476B" w:rsidRPr="0092476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Deputado Florêncio Neto</w:t>
      </w:r>
    </w:p>
    <w:p w14:paraId="0ABB028D" w14:textId="63B5518A" w:rsidR="00730AF3" w:rsidRPr="00730AF3" w:rsidRDefault="00730AF3" w:rsidP="00730A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730AF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                 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</w:t>
      </w:r>
      <w:r w:rsidRPr="00730AF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Relator: </w:t>
      </w:r>
      <w:r w:rsidR="0092476B" w:rsidRPr="0092476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Deputado Ariston</w:t>
      </w:r>
    </w:p>
    <w:p w14:paraId="435D8721" w14:textId="77777777" w:rsidR="00730AF3" w:rsidRPr="00730AF3" w:rsidRDefault="00730AF3" w:rsidP="00730A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7615E7C2" w14:textId="77777777" w:rsidR="00730AF3" w:rsidRPr="00730AF3" w:rsidRDefault="00730AF3" w:rsidP="00730A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bookmarkStart w:id="1" w:name="_Hlk23259089"/>
      <w:r w:rsidRPr="00730AF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Vota a favor:                                                     Vota contra:</w:t>
      </w:r>
    </w:p>
    <w:p w14:paraId="4168F776" w14:textId="2D55F632" w:rsidR="00730AF3" w:rsidRDefault="0092476B" w:rsidP="00730A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Deputado João Batista Segundo</w:t>
      </w:r>
      <w:r w:rsidR="00730AF3" w:rsidRPr="00730AF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______________________________</w:t>
      </w:r>
    </w:p>
    <w:p w14:paraId="3C1F6940" w14:textId="27D9DBA8" w:rsidR="00730AF3" w:rsidRPr="00730AF3" w:rsidRDefault="0092476B" w:rsidP="00730A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Deputado Neto Evangelista       </w:t>
      </w:r>
      <w:r w:rsidR="00730AF3" w:rsidRPr="00730AF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______________________________</w:t>
      </w:r>
    </w:p>
    <w:p w14:paraId="1C1590EC" w14:textId="61097365" w:rsidR="00730AF3" w:rsidRPr="00730AF3" w:rsidRDefault="0092476B" w:rsidP="00730A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Deputado Júlio Mendonça          </w:t>
      </w:r>
      <w:r w:rsidR="00730AF3" w:rsidRPr="00730AF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______________________________</w:t>
      </w:r>
    </w:p>
    <w:p w14:paraId="02656AF4" w14:textId="429CE180" w:rsidR="00730AF3" w:rsidRPr="00730AF3" w:rsidRDefault="00730AF3" w:rsidP="00730A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__________________________</w:t>
      </w:r>
      <w:r w:rsidRPr="00730AF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______________________________</w:t>
      </w:r>
    </w:p>
    <w:p w14:paraId="07C4D57B" w14:textId="1783D65A" w:rsidR="00730AF3" w:rsidRPr="00730AF3" w:rsidRDefault="00730AF3" w:rsidP="00730A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__________________________</w:t>
      </w:r>
      <w:r w:rsidRPr="00730AF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______________________________</w:t>
      </w:r>
    </w:p>
    <w:p w14:paraId="422747FD" w14:textId="77777777" w:rsidR="00730AF3" w:rsidRPr="00730AF3" w:rsidRDefault="00730AF3" w:rsidP="00730A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</w:p>
    <w:bookmarkEnd w:id="1"/>
    <w:sectPr w:rsidR="00730AF3" w:rsidRPr="00730AF3" w:rsidSect="00730AF3">
      <w:headerReference w:type="default" r:id="rId6"/>
      <w:type w:val="continuous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12604" w14:textId="77777777" w:rsidR="004A2DC8" w:rsidRDefault="004A2DC8" w:rsidP="001C4230">
      <w:pPr>
        <w:spacing w:after="0" w:line="240" w:lineRule="auto"/>
      </w:pPr>
      <w:r>
        <w:separator/>
      </w:r>
    </w:p>
  </w:endnote>
  <w:endnote w:type="continuationSeparator" w:id="0">
    <w:p w14:paraId="303A57D5" w14:textId="77777777" w:rsidR="004A2DC8" w:rsidRDefault="004A2DC8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D3CC2" w14:textId="77777777" w:rsidR="004A2DC8" w:rsidRDefault="004A2DC8" w:rsidP="001C4230">
      <w:pPr>
        <w:spacing w:after="0" w:line="240" w:lineRule="auto"/>
      </w:pPr>
      <w:r>
        <w:separator/>
      </w:r>
    </w:p>
  </w:footnote>
  <w:footnote w:type="continuationSeparator" w:id="0">
    <w:p w14:paraId="39BADA7E" w14:textId="77777777" w:rsidR="004A2DC8" w:rsidRDefault="004A2DC8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3E86F" w14:textId="77777777" w:rsidR="00730AF3" w:rsidRPr="00A2661B" w:rsidRDefault="00730AF3" w:rsidP="00730AF3">
    <w:pPr>
      <w:pStyle w:val="Cabealho"/>
      <w:ind w:right="360"/>
      <w:jc w:val="center"/>
      <w:rPr>
        <w:b/>
        <w:color w:val="000080"/>
        <w:sz w:val="18"/>
        <w:szCs w:val="18"/>
      </w:rPr>
    </w:pPr>
    <w:r w:rsidRPr="00A2661B">
      <w:rPr>
        <w:noProof/>
        <w:sz w:val="18"/>
        <w:szCs w:val="18"/>
        <w:lang w:eastAsia="pt-BR"/>
      </w:rPr>
      <w:drawing>
        <wp:inline distT="0" distB="0" distL="0" distR="0" wp14:anchorId="4E83A0BD" wp14:editId="2585408E">
          <wp:extent cx="946150" cy="818515"/>
          <wp:effectExtent l="19050" t="0" r="6350" b="0"/>
          <wp:docPr id="185267514" name="Imagem 185267514" descr="Diagrama,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Diagrama,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0F8A4D9" w14:textId="77777777" w:rsidR="00730AF3" w:rsidRPr="00A2661B" w:rsidRDefault="00730AF3" w:rsidP="00730AF3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ESTADO DO MARANHÃO</w:t>
    </w:r>
  </w:p>
  <w:p w14:paraId="7DD8DDFD" w14:textId="77777777" w:rsidR="00730AF3" w:rsidRPr="00A2661B" w:rsidRDefault="00730AF3" w:rsidP="00730AF3">
    <w:pPr>
      <w:pStyle w:val="Cabealho"/>
      <w:jc w:val="center"/>
      <w:rPr>
        <w:b/>
        <w:sz w:val="18"/>
        <w:szCs w:val="18"/>
      </w:rPr>
    </w:pPr>
    <w:r>
      <w:rPr>
        <w:b/>
        <w:sz w:val="18"/>
        <w:szCs w:val="18"/>
      </w:rPr>
      <w:t>ASSEMBLE</w:t>
    </w:r>
    <w:r w:rsidRPr="00A2661B">
      <w:rPr>
        <w:b/>
        <w:sz w:val="18"/>
        <w:szCs w:val="18"/>
      </w:rPr>
      <w:t>IA LEGISLATIVA DO MARANHÃO</w:t>
    </w:r>
  </w:p>
  <w:p w14:paraId="03C925DB" w14:textId="77777777" w:rsidR="00730AF3" w:rsidRPr="00A2661B" w:rsidRDefault="00730AF3" w:rsidP="00730AF3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INSTALADA EM 16 DE FEVEREIRO DE 1835</w:t>
    </w:r>
  </w:p>
  <w:p w14:paraId="56BDE83F" w14:textId="77777777" w:rsidR="00730AF3" w:rsidRPr="00A2661B" w:rsidRDefault="00730AF3" w:rsidP="00730AF3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DIRETORIA LEGISLATIVA</w:t>
    </w:r>
  </w:p>
  <w:p w14:paraId="47E7D337" w14:textId="77777777" w:rsidR="00730AF3" w:rsidRDefault="00730AF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30"/>
    <w:rsid w:val="0001673B"/>
    <w:rsid w:val="00045B45"/>
    <w:rsid w:val="000601FA"/>
    <w:rsid w:val="0007759D"/>
    <w:rsid w:val="000A1D59"/>
    <w:rsid w:val="000B3671"/>
    <w:rsid w:val="000D1FEA"/>
    <w:rsid w:val="000D30BE"/>
    <w:rsid w:val="000E767D"/>
    <w:rsid w:val="000F2485"/>
    <w:rsid w:val="00115933"/>
    <w:rsid w:val="00123B62"/>
    <w:rsid w:val="00130EF5"/>
    <w:rsid w:val="001314C3"/>
    <w:rsid w:val="00143FEA"/>
    <w:rsid w:val="001539A0"/>
    <w:rsid w:val="00164525"/>
    <w:rsid w:val="0019434F"/>
    <w:rsid w:val="001C4230"/>
    <w:rsid w:val="001D1E88"/>
    <w:rsid w:val="001D359A"/>
    <w:rsid w:val="001F39AA"/>
    <w:rsid w:val="00203E48"/>
    <w:rsid w:val="00224A8F"/>
    <w:rsid w:val="0024457A"/>
    <w:rsid w:val="002541BD"/>
    <w:rsid w:val="00257BCB"/>
    <w:rsid w:val="00271746"/>
    <w:rsid w:val="002A0398"/>
    <w:rsid w:val="002A0A7A"/>
    <w:rsid w:val="002C15DE"/>
    <w:rsid w:val="002C5319"/>
    <w:rsid w:val="002D3799"/>
    <w:rsid w:val="002E2EEA"/>
    <w:rsid w:val="00307D9E"/>
    <w:rsid w:val="00360518"/>
    <w:rsid w:val="003927EB"/>
    <w:rsid w:val="00394985"/>
    <w:rsid w:val="003A13D9"/>
    <w:rsid w:val="003A70B2"/>
    <w:rsid w:val="003E66A4"/>
    <w:rsid w:val="00417F4D"/>
    <w:rsid w:val="00422A7B"/>
    <w:rsid w:val="00433FBF"/>
    <w:rsid w:val="00440246"/>
    <w:rsid w:val="00454E49"/>
    <w:rsid w:val="004600BC"/>
    <w:rsid w:val="00472861"/>
    <w:rsid w:val="004728D7"/>
    <w:rsid w:val="00481B21"/>
    <w:rsid w:val="004846A8"/>
    <w:rsid w:val="0049782C"/>
    <w:rsid w:val="004A2DC8"/>
    <w:rsid w:val="004A749F"/>
    <w:rsid w:val="004A7A1E"/>
    <w:rsid w:val="004B363F"/>
    <w:rsid w:val="004B4FE3"/>
    <w:rsid w:val="004B5887"/>
    <w:rsid w:val="004D4568"/>
    <w:rsid w:val="004E1210"/>
    <w:rsid w:val="00513AE4"/>
    <w:rsid w:val="00513ED3"/>
    <w:rsid w:val="00521FB6"/>
    <w:rsid w:val="0053178D"/>
    <w:rsid w:val="00533E43"/>
    <w:rsid w:val="005416DF"/>
    <w:rsid w:val="00544E13"/>
    <w:rsid w:val="00545ABF"/>
    <w:rsid w:val="00545DE1"/>
    <w:rsid w:val="005502C4"/>
    <w:rsid w:val="005B5747"/>
    <w:rsid w:val="005C3797"/>
    <w:rsid w:val="005D1F17"/>
    <w:rsid w:val="005D4456"/>
    <w:rsid w:val="005E1206"/>
    <w:rsid w:val="005E6938"/>
    <w:rsid w:val="005E6D2D"/>
    <w:rsid w:val="005F0E23"/>
    <w:rsid w:val="005F113E"/>
    <w:rsid w:val="00610151"/>
    <w:rsid w:val="00646D3A"/>
    <w:rsid w:val="006520C5"/>
    <w:rsid w:val="006544E1"/>
    <w:rsid w:val="006636CD"/>
    <w:rsid w:val="0067262C"/>
    <w:rsid w:val="00686396"/>
    <w:rsid w:val="00690A03"/>
    <w:rsid w:val="006C337B"/>
    <w:rsid w:val="006F00A5"/>
    <w:rsid w:val="00700843"/>
    <w:rsid w:val="00707FFC"/>
    <w:rsid w:val="00713EF6"/>
    <w:rsid w:val="00715732"/>
    <w:rsid w:val="00730AF3"/>
    <w:rsid w:val="00732778"/>
    <w:rsid w:val="00751D9D"/>
    <w:rsid w:val="007754AE"/>
    <w:rsid w:val="0078494D"/>
    <w:rsid w:val="00797738"/>
    <w:rsid w:val="007B4A52"/>
    <w:rsid w:val="007C0C94"/>
    <w:rsid w:val="007C4184"/>
    <w:rsid w:val="007C7065"/>
    <w:rsid w:val="007D215C"/>
    <w:rsid w:val="00803832"/>
    <w:rsid w:val="00811D7C"/>
    <w:rsid w:val="00820375"/>
    <w:rsid w:val="008256DB"/>
    <w:rsid w:val="008410D3"/>
    <w:rsid w:val="00874730"/>
    <w:rsid w:val="0088454F"/>
    <w:rsid w:val="00897304"/>
    <w:rsid w:val="008C1ED0"/>
    <w:rsid w:val="008C5C6E"/>
    <w:rsid w:val="008D7652"/>
    <w:rsid w:val="008F6A5F"/>
    <w:rsid w:val="00904315"/>
    <w:rsid w:val="0091556C"/>
    <w:rsid w:val="0092475B"/>
    <w:rsid w:val="0092476B"/>
    <w:rsid w:val="00931773"/>
    <w:rsid w:val="00942790"/>
    <w:rsid w:val="0095677F"/>
    <w:rsid w:val="00962553"/>
    <w:rsid w:val="00966649"/>
    <w:rsid w:val="00973509"/>
    <w:rsid w:val="00981F4E"/>
    <w:rsid w:val="009A174C"/>
    <w:rsid w:val="009B5006"/>
    <w:rsid w:val="009B58A3"/>
    <w:rsid w:val="009B708A"/>
    <w:rsid w:val="009C303F"/>
    <w:rsid w:val="009E0CB4"/>
    <w:rsid w:val="009F1595"/>
    <w:rsid w:val="009F605C"/>
    <w:rsid w:val="009F7FAF"/>
    <w:rsid w:val="00A0063C"/>
    <w:rsid w:val="00A07B6D"/>
    <w:rsid w:val="00A14BA1"/>
    <w:rsid w:val="00A42BCD"/>
    <w:rsid w:val="00A44B56"/>
    <w:rsid w:val="00A5031A"/>
    <w:rsid w:val="00A829A5"/>
    <w:rsid w:val="00A94EBD"/>
    <w:rsid w:val="00AB0711"/>
    <w:rsid w:val="00AB091F"/>
    <w:rsid w:val="00AC4B52"/>
    <w:rsid w:val="00AD6E3B"/>
    <w:rsid w:val="00AE2C41"/>
    <w:rsid w:val="00AE37D9"/>
    <w:rsid w:val="00B00ACB"/>
    <w:rsid w:val="00B00FA2"/>
    <w:rsid w:val="00B14412"/>
    <w:rsid w:val="00B47682"/>
    <w:rsid w:val="00B72609"/>
    <w:rsid w:val="00B80A0A"/>
    <w:rsid w:val="00B8338B"/>
    <w:rsid w:val="00BA69D9"/>
    <w:rsid w:val="00BB2018"/>
    <w:rsid w:val="00BD7C19"/>
    <w:rsid w:val="00BF46DD"/>
    <w:rsid w:val="00BF548E"/>
    <w:rsid w:val="00C91142"/>
    <w:rsid w:val="00CB6219"/>
    <w:rsid w:val="00CC6915"/>
    <w:rsid w:val="00CD4398"/>
    <w:rsid w:val="00CD73A6"/>
    <w:rsid w:val="00CE6F00"/>
    <w:rsid w:val="00CF7B16"/>
    <w:rsid w:val="00D1248B"/>
    <w:rsid w:val="00D12994"/>
    <w:rsid w:val="00D1519E"/>
    <w:rsid w:val="00D151D2"/>
    <w:rsid w:val="00D30096"/>
    <w:rsid w:val="00D3383D"/>
    <w:rsid w:val="00D3644C"/>
    <w:rsid w:val="00D44D30"/>
    <w:rsid w:val="00D658E5"/>
    <w:rsid w:val="00D7606B"/>
    <w:rsid w:val="00D80554"/>
    <w:rsid w:val="00D8679B"/>
    <w:rsid w:val="00D93FF2"/>
    <w:rsid w:val="00D97882"/>
    <w:rsid w:val="00DA7C25"/>
    <w:rsid w:val="00DB1B46"/>
    <w:rsid w:val="00DC692B"/>
    <w:rsid w:val="00DD077A"/>
    <w:rsid w:val="00DD5C4B"/>
    <w:rsid w:val="00DE3200"/>
    <w:rsid w:val="00E02256"/>
    <w:rsid w:val="00E149AC"/>
    <w:rsid w:val="00E21962"/>
    <w:rsid w:val="00E35976"/>
    <w:rsid w:val="00E36E18"/>
    <w:rsid w:val="00E37629"/>
    <w:rsid w:val="00EB4322"/>
    <w:rsid w:val="00EB504E"/>
    <w:rsid w:val="00EC0CA5"/>
    <w:rsid w:val="00ED0D9E"/>
    <w:rsid w:val="00EE4A3E"/>
    <w:rsid w:val="00EE5199"/>
    <w:rsid w:val="00EE65D9"/>
    <w:rsid w:val="00EE7F05"/>
    <w:rsid w:val="00EF55DC"/>
    <w:rsid w:val="00EF5E64"/>
    <w:rsid w:val="00F03572"/>
    <w:rsid w:val="00F160A0"/>
    <w:rsid w:val="00F22D76"/>
    <w:rsid w:val="00F25B63"/>
    <w:rsid w:val="00F3000A"/>
    <w:rsid w:val="00F45A03"/>
    <w:rsid w:val="00F600D7"/>
    <w:rsid w:val="00F657AA"/>
    <w:rsid w:val="00F67520"/>
    <w:rsid w:val="00F76DCF"/>
    <w:rsid w:val="00F83D4D"/>
    <w:rsid w:val="00F92570"/>
    <w:rsid w:val="00FB685C"/>
    <w:rsid w:val="00FD2170"/>
    <w:rsid w:val="00FD5468"/>
    <w:rsid w:val="00FE333E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112561"/>
  <w15:docId w15:val="{38FEBEDC-C2D3-4C83-9D3E-18573E07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9782C"/>
  </w:style>
  <w:style w:type="character" w:styleId="nfase">
    <w:name w:val="Emphasis"/>
    <w:basedOn w:val="Fontepargpadro"/>
    <w:uiPriority w:val="20"/>
    <w:qFormat/>
    <w:rsid w:val="0049782C"/>
    <w:rPr>
      <w:i/>
      <w:iCs/>
    </w:rPr>
  </w:style>
  <w:style w:type="character" w:styleId="Forte">
    <w:name w:val="Strong"/>
    <w:basedOn w:val="Fontepargpadro"/>
    <w:uiPriority w:val="22"/>
    <w:qFormat/>
    <w:rsid w:val="004978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D12994"/>
    <w:pPr>
      <w:widowControl w:val="0"/>
      <w:snapToGrid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2">
    <w:name w:val="p32"/>
    <w:basedOn w:val="Normal"/>
    <w:rsid w:val="00D12994"/>
    <w:pPr>
      <w:widowControl w:val="0"/>
      <w:tabs>
        <w:tab w:val="left" w:pos="540"/>
        <w:tab w:val="left" w:pos="86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13">
    <w:name w:val="p13"/>
    <w:basedOn w:val="Normal"/>
    <w:rsid w:val="00D12994"/>
    <w:pPr>
      <w:widowControl w:val="0"/>
      <w:tabs>
        <w:tab w:val="left" w:pos="540"/>
        <w:tab w:val="left" w:pos="84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0">
    <w:name w:val="p30"/>
    <w:basedOn w:val="Normal"/>
    <w:rsid w:val="00D12994"/>
    <w:pPr>
      <w:widowControl w:val="0"/>
      <w:tabs>
        <w:tab w:val="left" w:pos="400"/>
      </w:tabs>
      <w:snapToGrid w:val="0"/>
      <w:spacing w:after="0" w:line="200" w:lineRule="atLeast"/>
      <w:ind w:left="576" w:hanging="432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1555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Anderson Abreu Rocha</dc:creator>
  <cp:lastModifiedBy>Antônio Guimarães de Freitas</cp:lastModifiedBy>
  <cp:revision>2</cp:revision>
  <cp:lastPrinted>2018-11-30T14:46:00Z</cp:lastPrinted>
  <dcterms:created xsi:type="dcterms:W3CDTF">2025-04-08T18:01:00Z</dcterms:created>
  <dcterms:modified xsi:type="dcterms:W3CDTF">2025-04-08T18:01:00Z</dcterms:modified>
</cp:coreProperties>
</file>