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C151" w14:textId="77777777" w:rsidR="003F4C50" w:rsidRPr="00A70275" w:rsidRDefault="003F4C50" w:rsidP="00A70275">
      <w:pPr>
        <w:jc w:val="center"/>
        <w:rPr>
          <w:rFonts w:asciiTheme="majorHAnsi" w:hAnsiTheme="majorHAnsi" w:cstheme="majorHAnsi"/>
          <w:b/>
        </w:rPr>
      </w:pPr>
      <w:r w:rsidRPr="00A70275">
        <w:rPr>
          <w:rFonts w:asciiTheme="majorHAnsi" w:hAnsiTheme="majorHAnsi" w:cstheme="majorHAnsi"/>
          <w:b/>
        </w:rPr>
        <w:t>COMISSÃO DE CONSTITUIÇÃO, JUSTIÇA E CIDADANIA</w:t>
      </w:r>
    </w:p>
    <w:p w14:paraId="6214FFAA" w14:textId="7D056CE8" w:rsidR="003F4C50" w:rsidRPr="00A70275" w:rsidRDefault="003F4C50" w:rsidP="00A70275">
      <w:pPr>
        <w:jc w:val="center"/>
        <w:rPr>
          <w:rFonts w:asciiTheme="majorHAnsi" w:hAnsiTheme="majorHAnsi" w:cstheme="majorHAnsi"/>
          <w:b/>
        </w:rPr>
      </w:pPr>
      <w:r w:rsidRPr="00A70275">
        <w:rPr>
          <w:rFonts w:asciiTheme="majorHAnsi" w:hAnsiTheme="majorHAnsi" w:cstheme="majorHAnsi"/>
          <w:b/>
        </w:rPr>
        <w:t xml:space="preserve">PARECER </w:t>
      </w:r>
      <w:proofErr w:type="gramStart"/>
      <w:r w:rsidRPr="00A70275">
        <w:rPr>
          <w:rFonts w:asciiTheme="majorHAnsi" w:hAnsiTheme="majorHAnsi" w:cstheme="majorHAnsi"/>
          <w:b/>
        </w:rPr>
        <w:t>Nº</w:t>
      </w:r>
      <w:r w:rsidR="00FE7C44" w:rsidRPr="00A70275">
        <w:rPr>
          <w:rFonts w:asciiTheme="majorHAnsi" w:hAnsiTheme="majorHAnsi" w:cstheme="majorHAnsi"/>
          <w:b/>
        </w:rPr>
        <w:t xml:space="preserve"> </w:t>
      </w:r>
      <w:r w:rsidR="008567DA">
        <w:rPr>
          <w:rFonts w:asciiTheme="majorHAnsi" w:hAnsiTheme="majorHAnsi" w:cstheme="majorHAnsi"/>
          <w:b/>
        </w:rPr>
        <w:t xml:space="preserve"> </w:t>
      </w:r>
      <w:r w:rsidR="000A330C">
        <w:rPr>
          <w:rFonts w:asciiTheme="majorHAnsi" w:hAnsiTheme="majorHAnsi" w:cstheme="majorHAnsi"/>
          <w:b/>
        </w:rPr>
        <w:t>300</w:t>
      </w:r>
      <w:proofErr w:type="gramEnd"/>
      <w:r w:rsidRPr="00A70275">
        <w:rPr>
          <w:rFonts w:asciiTheme="majorHAnsi" w:hAnsiTheme="majorHAnsi" w:cstheme="majorHAnsi"/>
          <w:b/>
        </w:rPr>
        <w:t>/202</w:t>
      </w:r>
      <w:r w:rsidR="00FF3E58" w:rsidRPr="00A70275">
        <w:rPr>
          <w:rFonts w:asciiTheme="majorHAnsi" w:hAnsiTheme="majorHAnsi" w:cstheme="majorHAnsi"/>
          <w:b/>
        </w:rPr>
        <w:t>5</w:t>
      </w:r>
      <w:r w:rsidR="00A70275">
        <w:rPr>
          <w:rFonts w:asciiTheme="majorHAnsi" w:hAnsiTheme="majorHAnsi" w:cstheme="majorHAnsi"/>
          <w:b/>
        </w:rPr>
        <w:t>/CCJC</w:t>
      </w:r>
    </w:p>
    <w:p w14:paraId="76ACA596" w14:textId="77777777" w:rsidR="00FD6C47" w:rsidRPr="00A70275" w:rsidRDefault="00FD6C47" w:rsidP="003F4C50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5AA10249" w14:textId="77777777" w:rsidR="003F4C50" w:rsidRPr="00A70275" w:rsidRDefault="003F4C50" w:rsidP="003F4C50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A70275">
        <w:rPr>
          <w:rFonts w:asciiTheme="majorHAnsi" w:hAnsiTheme="majorHAnsi" w:cstheme="majorHAnsi"/>
          <w:b/>
          <w:u w:val="single"/>
        </w:rPr>
        <w:t>RELATÓRIO:</w:t>
      </w:r>
    </w:p>
    <w:p w14:paraId="359D21DB" w14:textId="77777777" w:rsidR="00A70275" w:rsidRDefault="00A70275" w:rsidP="00A70275">
      <w:pPr>
        <w:spacing w:line="360" w:lineRule="auto"/>
        <w:ind w:firstLine="1418"/>
        <w:jc w:val="both"/>
        <w:rPr>
          <w:rFonts w:asciiTheme="majorHAnsi" w:hAnsiTheme="majorHAnsi" w:cstheme="majorHAnsi"/>
          <w:b/>
          <w:bCs/>
        </w:rPr>
      </w:pPr>
    </w:p>
    <w:p w14:paraId="3AC2299D" w14:textId="3DB3A0FA" w:rsidR="008567DA" w:rsidRDefault="00945081" w:rsidP="00945081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945081">
        <w:rPr>
          <w:rFonts w:asciiTheme="minorHAnsi" w:eastAsia="Calibri" w:hAnsiTheme="minorHAnsi" w:cstheme="minorHAnsi"/>
          <w:bCs/>
          <w:lang w:eastAsia="en-US"/>
        </w:rPr>
        <w:t xml:space="preserve">Cuida-se da análise preliminar da constitucionalidade, legalidade, </w:t>
      </w:r>
      <w:proofErr w:type="spellStart"/>
      <w:r w:rsidRPr="00945081">
        <w:rPr>
          <w:rFonts w:asciiTheme="minorHAnsi" w:eastAsia="Calibri" w:hAnsiTheme="minorHAnsi" w:cstheme="minorHAnsi"/>
          <w:bCs/>
          <w:lang w:eastAsia="en-US"/>
        </w:rPr>
        <w:t>regimentalidade</w:t>
      </w:r>
      <w:proofErr w:type="spellEnd"/>
      <w:r w:rsidRPr="00945081">
        <w:rPr>
          <w:rFonts w:asciiTheme="minorHAnsi" w:eastAsia="Calibri" w:hAnsiTheme="minorHAnsi" w:cstheme="minorHAnsi"/>
          <w:bCs/>
          <w:lang w:eastAsia="en-US"/>
        </w:rPr>
        <w:t xml:space="preserve">, juridicidade e adequada técnica legislativa do </w:t>
      </w:r>
      <w:bookmarkStart w:id="0" w:name="_Hlk196206513"/>
      <w:r w:rsidRPr="00945081">
        <w:rPr>
          <w:rFonts w:asciiTheme="minorHAnsi" w:eastAsia="Calibri" w:hAnsiTheme="minorHAnsi" w:cstheme="minorHAnsi"/>
          <w:bCs/>
          <w:lang w:eastAsia="en-US"/>
        </w:rPr>
        <w:t xml:space="preserve">Projeto de Lei Ordinária </w:t>
      </w:r>
      <w:r>
        <w:rPr>
          <w:rFonts w:asciiTheme="minorHAnsi" w:eastAsia="Calibri" w:hAnsiTheme="minorHAnsi" w:cstheme="minorHAnsi"/>
          <w:bCs/>
          <w:lang w:eastAsia="en-US"/>
        </w:rPr>
        <w:t xml:space="preserve">                         </w:t>
      </w:r>
      <w:r w:rsidRPr="00945081">
        <w:rPr>
          <w:rFonts w:asciiTheme="minorHAnsi" w:eastAsia="Calibri" w:hAnsiTheme="minorHAnsi" w:cstheme="minorHAnsi"/>
          <w:bCs/>
          <w:lang w:eastAsia="en-US"/>
        </w:rPr>
        <w:t xml:space="preserve">n° 04/2025, de autoria do Exmo. Sr. Dep. Carlos Lula, </w:t>
      </w:r>
      <w:bookmarkStart w:id="1" w:name="_Hlk196206628"/>
      <w:r w:rsidRPr="00945081">
        <w:rPr>
          <w:rFonts w:asciiTheme="minorHAnsi" w:eastAsia="Calibri" w:hAnsiTheme="minorHAnsi" w:cstheme="minorHAnsi"/>
          <w:bCs/>
          <w:lang w:eastAsia="en-US"/>
        </w:rPr>
        <w:t>dispõe sobre a divulgação dos relatórios de vistorias técnicas realizadas em viadutos, pontes e passarelas no âmbito do Estado do Maranhão.</w:t>
      </w:r>
    </w:p>
    <w:p w14:paraId="5C306627" w14:textId="77777777" w:rsidR="00945081" w:rsidRPr="00945081" w:rsidRDefault="00945081" w:rsidP="00945081">
      <w:pPr>
        <w:suppressAutoHyphens/>
        <w:spacing w:line="360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945081">
        <w:rPr>
          <w:rFonts w:ascii="Calibri" w:eastAsia="Calibri" w:hAnsi="Calibri" w:cs="Calibri"/>
          <w:color w:val="000000"/>
          <w:lang w:eastAsia="en-US"/>
        </w:rPr>
        <w:t>Trata-se de projeto de lei ordinária apresentado com fundamento no art. 128, III, do Regimento Interno desta Assembleia Legislativa, de autoria parlamentar</w:t>
      </w:r>
      <w:bookmarkEnd w:id="0"/>
      <w:r w:rsidRPr="00945081">
        <w:rPr>
          <w:rFonts w:ascii="Calibri" w:eastAsia="Calibri" w:hAnsi="Calibri" w:cs="Calibri"/>
          <w:color w:val="000000"/>
          <w:lang w:eastAsia="en-US"/>
        </w:rPr>
        <w:t>.</w:t>
      </w:r>
    </w:p>
    <w:bookmarkEnd w:id="1"/>
    <w:p w14:paraId="47CBE000" w14:textId="77777777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Calibri" w:hAnsi="Calibri" w:cs="Calibri"/>
          <w:color w:val="000000"/>
          <w:lang w:eastAsia="en-US"/>
        </w:rPr>
      </w:pPr>
      <w:r w:rsidRPr="00945081">
        <w:rPr>
          <w:rFonts w:ascii="Calibri" w:eastAsia="Arial" w:hAnsi="Calibri" w:cs="Arial"/>
          <w:color w:val="000000"/>
          <w:lang w:eastAsia="en-US"/>
        </w:rPr>
        <w:t>Inicialmente, cumpre destacar que</w:t>
      </w:r>
      <w:r w:rsidRPr="00945081">
        <w:rPr>
          <w:rFonts w:ascii="Calibri" w:eastAsia="Calibri" w:hAnsi="Calibri" w:cs="Calibri"/>
          <w:color w:val="000000"/>
          <w:lang w:eastAsia="en-US"/>
        </w:rPr>
        <w:t xml:space="preserve"> a repartição de competências legislativas no Brasil se dá de forma vertical e horizontal, estabelecendo-se a distribuição de atribuições legislativas entre os entes federativos (União, Estados, Distrito Federal e Municípios) com base nas regras previstas na Constituição da República Federativa de 198 (CRFB/88). Tal divisão visa equilibrar o sistema federativo, garantir a autonomia dos entes e promover a colaboração na edição de normas e implementação de políticas públicas. </w:t>
      </w:r>
    </w:p>
    <w:p w14:paraId="735D472C" w14:textId="77777777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Calibri" w:hAnsi="Calibri" w:cs="Calibri"/>
          <w:color w:val="000000"/>
          <w:lang w:eastAsia="en-US"/>
        </w:rPr>
      </w:pPr>
      <w:r w:rsidRPr="00945081">
        <w:rPr>
          <w:rFonts w:ascii="Calibri" w:eastAsia="Calibri" w:hAnsi="Calibri" w:cs="Calibri"/>
          <w:color w:val="000000"/>
          <w:lang w:eastAsia="en-US"/>
        </w:rPr>
        <w:t>Cumpre destacar o disposto no art. 56 do Regimento Interno da ALEMA:</w:t>
      </w:r>
    </w:p>
    <w:p w14:paraId="5C8067C2" w14:textId="77777777" w:rsidR="00945081" w:rsidRPr="00945081" w:rsidRDefault="00945081" w:rsidP="00945081">
      <w:pPr>
        <w:suppressAutoHyphens/>
        <w:ind w:left="3540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945081">
        <w:rPr>
          <w:rFonts w:ascii="Calibri" w:eastAsia="Calibri" w:hAnsi="Calibri" w:cs="Calibri"/>
          <w:sz w:val="20"/>
          <w:szCs w:val="20"/>
          <w:lang w:eastAsia="en-US"/>
        </w:rPr>
        <w:t xml:space="preserve">Art. 56. O parecer será escrito e concluirá pela aprovação ou pela rejeição da matéria, </w:t>
      </w:r>
      <w:r w:rsidRPr="00945081">
        <w:rPr>
          <w:rFonts w:ascii="Calibri" w:eastAsia="Calibri" w:hAnsi="Calibri" w:cs="Calibri"/>
          <w:b/>
          <w:bCs/>
          <w:sz w:val="20"/>
          <w:szCs w:val="20"/>
          <w:lang w:eastAsia="en-US"/>
        </w:rPr>
        <w:t>salvo o da Comissão de Constituição, Justiça e Cidadania, que se restringirá ao exame preliminar de constitucionalidade, legalidade e juridicidade.</w:t>
      </w:r>
    </w:p>
    <w:p w14:paraId="45195238" w14:textId="77777777" w:rsidR="00945081" w:rsidRPr="00945081" w:rsidRDefault="00945081" w:rsidP="00945081">
      <w:pPr>
        <w:suppressAutoHyphens/>
        <w:spacing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</w:p>
    <w:p w14:paraId="777418E4" w14:textId="77777777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Arial" w:hAnsi="Calibri" w:cs="Arial"/>
          <w:color w:val="000000"/>
          <w:lang w:eastAsia="en-US"/>
        </w:rPr>
      </w:pPr>
      <w:r w:rsidRPr="00945081">
        <w:rPr>
          <w:rFonts w:ascii="Calibri" w:eastAsia="Calibri" w:hAnsi="Calibri" w:cs="Arial"/>
          <w:color w:val="000000"/>
          <w:lang w:eastAsia="en-US"/>
        </w:rPr>
        <w:t>Sendo assim, deve-se atentar neste momento aos</w:t>
      </w:r>
      <w:r w:rsidRPr="00945081">
        <w:rPr>
          <w:rFonts w:ascii="Calibri" w:eastAsia="Arial" w:hAnsi="Calibri" w:cs="Arial"/>
          <w:color w:val="000000"/>
          <w:lang w:eastAsia="en-US"/>
        </w:rPr>
        <w:t xml:space="preserve"> aspectos preliminares de constitucionalidade, </w:t>
      </w:r>
      <w:proofErr w:type="spellStart"/>
      <w:r w:rsidRPr="00945081">
        <w:rPr>
          <w:rFonts w:ascii="Calibri" w:eastAsia="Arial" w:hAnsi="Calibri" w:cs="Arial"/>
          <w:color w:val="000000"/>
          <w:lang w:eastAsia="en-US"/>
        </w:rPr>
        <w:t>regimentalidade</w:t>
      </w:r>
      <w:proofErr w:type="spellEnd"/>
      <w:r w:rsidRPr="00945081">
        <w:rPr>
          <w:rFonts w:ascii="Calibri" w:eastAsia="Arial" w:hAnsi="Calibri" w:cs="Arial"/>
          <w:color w:val="000000"/>
          <w:lang w:eastAsia="en-US"/>
        </w:rPr>
        <w:t xml:space="preserve"> e legalidade da presente proposta.</w:t>
      </w:r>
    </w:p>
    <w:p w14:paraId="3BEBC7E8" w14:textId="77777777" w:rsid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Arial" w:hAnsi="Calibri" w:cs="Arial"/>
          <w:color w:val="000000"/>
          <w:lang w:eastAsia="en-US"/>
        </w:rPr>
      </w:pPr>
      <w:r w:rsidRPr="00945081">
        <w:rPr>
          <w:rFonts w:ascii="Calibri" w:eastAsia="Arial" w:hAnsi="Calibri" w:cs="Arial"/>
          <w:color w:val="000000"/>
          <w:lang w:eastAsia="en-US"/>
        </w:rPr>
        <w:t xml:space="preserve">Conforme o art. 1° da proposição, o escopo principal do projeto trata da divulgação dos relatórios técnicos das vistorias realizadas em viadutos, pontes, túneis, passarelas e demais obras de infraestrutura </w:t>
      </w:r>
      <w:r w:rsidRPr="00945081">
        <w:rPr>
          <w:rFonts w:ascii="Calibri" w:eastAsia="Arial" w:hAnsi="Calibri" w:cs="Arial"/>
          <w:color w:val="000000"/>
          <w:u w:val="single"/>
          <w:lang w:eastAsia="en-US"/>
        </w:rPr>
        <w:t>sob responsabilidade estadual.</w:t>
      </w:r>
      <w:r w:rsidRPr="00945081">
        <w:rPr>
          <w:rFonts w:ascii="Calibri" w:eastAsia="Arial" w:hAnsi="Calibri" w:cs="Arial"/>
          <w:color w:val="000000"/>
          <w:lang w:eastAsia="en-US"/>
        </w:rPr>
        <w:t xml:space="preserve"> Ademais, passam a ser estabelecidas as informações mínimas que as publicações sobre as vistorias deverão conter (art. 2° da proposição):</w:t>
      </w:r>
    </w:p>
    <w:p w14:paraId="638A70AC" w14:textId="77777777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Arial" w:hAnsi="Calibri" w:cs="Arial"/>
          <w:color w:val="000000"/>
          <w:lang w:eastAsia="en-US"/>
        </w:rPr>
      </w:pPr>
    </w:p>
    <w:p w14:paraId="5F60EA78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bCs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b/>
          <w:color w:val="000000"/>
          <w:sz w:val="22"/>
          <w:szCs w:val="22"/>
          <w:lang w:val="pt-PT" w:eastAsia="en-US"/>
        </w:rPr>
        <w:lastRenderedPageBreak/>
        <w:t xml:space="preserve">Art. 1º. </w:t>
      </w:r>
      <w:r w:rsidRPr="00945081">
        <w:rPr>
          <w:rFonts w:ascii="Calibri" w:eastAsia="Calibri" w:hAnsi="Calibri" w:cs="Calibri"/>
          <w:bCs/>
          <w:color w:val="000000"/>
          <w:sz w:val="22"/>
          <w:szCs w:val="22"/>
          <w:lang w:val="pt-PT" w:eastAsia="en-US"/>
        </w:rPr>
        <w:t>Os relatórios técnicos das vistorias realizadas em viadutos, pontes, túneis, passarelas e demais obras de infraestrutura sob responsabilidade estadual serão publicados na plataforma digital oficial do Governo do Estado do Maranhão, garantindo a transparência e o acesso público às informações sobre a condição e manutenção dessas estruturas. [...]</w:t>
      </w:r>
    </w:p>
    <w:p w14:paraId="240FD99C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Art. 2º</w:t>
      </w:r>
      <w:r w:rsidRPr="0094508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 xml:space="preserve">As publicações sobre as vistorias deverão conter, no mínimo, as seguintes informações: </w:t>
      </w:r>
    </w:p>
    <w:p w14:paraId="0F1BEB40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>I - local da vistoria;</w:t>
      </w:r>
    </w:p>
    <w:p w14:paraId="3D1CA4DB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 xml:space="preserve">II -  data da realização da vistoria; </w:t>
      </w:r>
    </w:p>
    <w:p w14:paraId="0EED3EA7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 xml:space="preserve">III - nome e registro profissional do responsável técnico pela vistoria; </w:t>
      </w:r>
    </w:p>
    <w:p w14:paraId="3E893F05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>IV - órgão público ao qual está vinculado o responsável pela vistoria</w:t>
      </w:r>
    </w:p>
    <w:p w14:paraId="32437F0E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 xml:space="preserve">V - metodologia utilizada na inspeção; </w:t>
      </w:r>
    </w:p>
    <w:p w14:paraId="626E0690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>VI - diagnóstico detalhado do estado de conservação da obra, incluindo informações sobre:</w:t>
      </w:r>
    </w:p>
    <w:p w14:paraId="31FEB148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>a) presença de fissuras, corrosão, infiltrações ou outros danos estruturais;</w:t>
      </w:r>
    </w:p>
    <w:p w14:paraId="12E3F15F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>b) necessidade e tipo de intervenções recomendadas;</w:t>
      </w:r>
    </w:p>
    <w:p w14:paraId="4DAF97A9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>c) prazo estimado para execução das intervenções necessárias;</w:t>
      </w:r>
    </w:p>
    <w:p w14:paraId="645A198A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45081">
        <w:rPr>
          <w:rFonts w:ascii="Calibri" w:eastAsia="Calibri" w:hAnsi="Calibri" w:cs="Calibri"/>
          <w:color w:val="000000"/>
          <w:sz w:val="22"/>
          <w:szCs w:val="22"/>
          <w:lang w:val="pt-PT" w:eastAsia="en-US"/>
        </w:rPr>
        <w:t>d) nível de risco associado à estrutura avaliada.</w:t>
      </w:r>
      <w:r w:rsidRPr="00945081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</w:p>
    <w:p w14:paraId="6F92B998" w14:textId="77777777" w:rsidR="00945081" w:rsidRPr="00945081" w:rsidRDefault="00945081" w:rsidP="00945081">
      <w:pPr>
        <w:suppressAutoHyphens/>
        <w:spacing w:line="360" w:lineRule="auto"/>
        <w:ind w:firstLine="1134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6AE6DCB9" w14:textId="77777777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Calibri" w:hAnsi="Calibri" w:cs="Calibri"/>
          <w:color w:val="000000"/>
          <w:lang w:eastAsia="en-US"/>
        </w:rPr>
      </w:pPr>
      <w:r w:rsidRPr="00945081">
        <w:rPr>
          <w:rFonts w:ascii="Calibri" w:eastAsia="Calibri" w:hAnsi="Calibri" w:cs="Calibri"/>
          <w:color w:val="000000"/>
          <w:lang w:eastAsia="en-US"/>
        </w:rPr>
        <w:t xml:space="preserve">Em primeira análise, deve-se destacar que o Supremo Tribunal Federal já se manifestou no sentido de ser legítima a atuação do Poder Legislativo para a implementação de medidas de aprimoramento de fiscalização (exercício do controle externo da administração pública), desde que respeitadas as demais balizas da Carta Constitucional. </w:t>
      </w:r>
    </w:p>
    <w:p w14:paraId="35AEA39D" w14:textId="77777777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Calibri" w:hAnsi="Calibri" w:cs="Calibri"/>
          <w:color w:val="000000"/>
          <w:lang w:eastAsia="en-US"/>
        </w:rPr>
      </w:pPr>
      <w:r w:rsidRPr="00945081">
        <w:rPr>
          <w:rFonts w:ascii="Calibri" w:eastAsia="Calibri" w:hAnsi="Calibri" w:cs="Calibri"/>
          <w:color w:val="000000"/>
          <w:lang w:eastAsia="en-US"/>
        </w:rPr>
        <w:t xml:space="preserve">Nesse sentido, com base nos princípios da publicidade e transparência (art. 37, caput, da CRFB/88), a Suprema Corte </w:t>
      </w:r>
      <w:r w:rsidRPr="00945081">
        <w:rPr>
          <w:rFonts w:ascii="Calibri" w:eastAsia="Calibri" w:hAnsi="Calibri" w:cs="Calibri"/>
          <w:b/>
          <w:bCs/>
          <w:color w:val="000000"/>
          <w:lang w:eastAsia="en-US"/>
        </w:rPr>
        <w:t>declarou constitucional lei de iniciativa parlamentar que obriga o Poder Executivo a divulgar na imprensa oficial e na internet dados relativos a contratos de obras públicas (Lei nº 11.521/2000 do Estado do Rio Grande do Sul)</w:t>
      </w:r>
      <w:r w:rsidRPr="00945081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07C78200" w14:textId="77777777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0BD2E3D0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945081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EMENTA Ação direta de inconstitucionalidade. Lei nº 11.521/2000 do Estado do Rio Grande do Sul. Obrigação do Governo de divulgar na imprensa oficial e na internet dados relativos a contratos de obras públicas. Ausência de vício formal e material. </w:t>
      </w:r>
      <w:r w:rsidRPr="00945081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Princípio da publicidade e da transparência. Fiscalização. Constitucionalidade</w:t>
      </w:r>
      <w:r w:rsidRPr="00945081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. 1. O art. 22, inciso XXVII, da Constituição Federal atribuiu à União a competência para editar normas gerais de licitações e contratos. A legislação questionada não traz regramento geral de contratos administrativos, mas simplesmente determina a publicação de dados básicos dos contratos de obras públicas realizadas em rodovias, portos e aeroportos. Sua incidência é pontual e restrita a contratos específicos da administração pública estadual, </w:t>
      </w:r>
      <w:r w:rsidRPr="00945081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carecendo, nesse ponto, de teor de generalidade suficiente para caracterizá-la como “norma geral”. </w:t>
      </w:r>
      <w:r w:rsidRPr="00945081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2. Lei que obriga o Poder Executivo a divulgar na imprensa oficial e na internet dados relativos a contratos de obras públicas não depende de iniciativa do chefe do Poder Executivo. A lei em questão não cria, extingue ou modifica órgão administrativo, tampouco confere nova atribuição a órgão da administração pública. O fato de a regra estar dirigida ao Poder Executivo, por si só, não implica que ela deva ser de iniciativa privativa do Governador do Estado. Não incide, no caso, a vedação constitucional (CF, art. 61, § 1º, II, e). </w:t>
      </w:r>
      <w:r w:rsidRPr="00945081">
        <w:rPr>
          <w:rFonts w:ascii="Calibri" w:eastAsia="Calibri" w:hAnsi="Calibri" w:cs="Calibri"/>
          <w:color w:val="000000"/>
          <w:sz w:val="20"/>
          <w:szCs w:val="20"/>
          <w:lang w:eastAsia="en-US"/>
        </w:rPr>
        <w:t>(ADI 2444, Relator(a): Min. DIAS TOFFOLI, Tribunal Pleno, julgado em 06/11/2014, ACÓRDÃO ELETRÔNICO DJe-021 DIVULG 30-01-2015 PUBLIC 02-02-2015)</w:t>
      </w:r>
    </w:p>
    <w:p w14:paraId="347A63AD" w14:textId="77777777" w:rsidR="00945081" w:rsidRPr="00945081" w:rsidRDefault="00945081" w:rsidP="00945081">
      <w:pPr>
        <w:suppressAutoHyphens/>
        <w:spacing w:line="360" w:lineRule="auto"/>
        <w:ind w:firstLine="1134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564EB7C4" w14:textId="77777777" w:rsidR="00945081" w:rsidRPr="00945081" w:rsidRDefault="00945081" w:rsidP="00945081">
      <w:pPr>
        <w:suppressAutoHyphens/>
        <w:spacing w:line="360" w:lineRule="auto"/>
        <w:ind w:firstLine="1134"/>
        <w:jc w:val="both"/>
        <w:rPr>
          <w:rFonts w:ascii="Calibri" w:eastAsia="Calibri" w:hAnsi="Calibri" w:cs="Calibri"/>
          <w:color w:val="000000"/>
          <w:lang w:eastAsia="en-US"/>
        </w:rPr>
      </w:pPr>
      <w:r w:rsidRPr="00945081">
        <w:rPr>
          <w:rFonts w:ascii="Calibri" w:eastAsia="Calibri" w:hAnsi="Calibri" w:cs="Calibri"/>
          <w:color w:val="000000"/>
          <w:lang w:eastAsia="en-US"/>
        </w:rPr>
        <w:t xml:space="preserve">Conforme a decisão, a disciplina estadual sobre transparência e publicidade não cria, extingue ou modifica órgão administrativo, tampouco confere nova atribuição a órgão da administração pública. O fato de a regra estar dirigida ao Poder Executivo, por si só, não implica que ela deva ser de iniciativa privativa do Governador do Estado. Não incidiria, no caso, a reserva de iniciativa (CF, art. 61, § 1º, II, e).  </w:t>
      </w:r>
    </w:p>
    <w:p w14:paraId="24ECC4D4" w14:textId="77777777" w:rsidR="00945081" w:rsidRPr="00945081" w:rsidRDefault="00945081" w:rsidP="00945081">
      <w:pPr>
        <w:suppressAutoHyphens/>
        <w:spacing w:line="360" w:lineRule="auto"/>
        <w:ind w:firstLine="1134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45081">
        <w:rPr>
          <w:rFonts w:ascii="Calibri" w:eastAsia="Calibri" w:hAnsi="Calibri" w:cs="Calibri"/>
          <w:color w:val="000000"/>
          <w:lang w:eastAsia="en-US"/>
        </w:rPr>
        <w:t>Nos próprios termos do acórdão, a legislação estadual se inspira no princípio da publicidade e da transparência dos atos do Poder Público, representando o aprimoramento da necessária transparência das atividades administrativas:</w:t>
      </w:r>
    </w:p>
    <w:p w14:paraId="2A47BEB3" w14:textId="77777777" w:rsidR="00945081" w:rsidRPr="00945081" w:rsidRDefault="00945081" w:rsidP="00945081">
      <w:pPr>
        <w:suppressAutoHyphens/>
        <w:spacing w:line="360" w:lineRule="auto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1D6BB006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945081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[...] 3. A legislação estadual inspira-se no princípio da publicidade, na sua vertente mais específica, a da transparência dos atos do Poder Público. Enquadra-se, portanto, nesse contexto de aprimoramento da necessária transparência das atividades administrativas, reafirmando e cumprindo o princípio constitucional da publicidade da administração pública </w:t>
      </w:r>
      <w:r w:rsidRPr="00945081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(art. 37, caput, CF/88). 4. </w:t>
      </w:r>
      <w:r w:rsidRPr="00945081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É legítimo que o Poder Legislativo, no exercício do controle externo da administração pública, o qual lhe foi outorgado expressamente pelo poder constituinte, implemente medidas de aprimoramento da sua fiscalização, desde que respeitadas as demais balizas da Carta Constitucional, fato que ora se verifica</w:t>
      </w:r>
      <w:r w:rsidRPr="00945081">
        <w:rPr>
          <w:rFonts w:ascii="Calibri" w:eastAsia="Calibri" w:hAnsi="Calibri" w:cs="Calibri"/>
          <w:color w:val="000000"/>
          <w:sz w:val="20"/>
          <w:szCs w:val="20"/>
          <w:lang w:eastAsia="en-US"/>
        </w:rPr>
        <w:t>. 5. Não ocorrência de violação aos ditames do art. 167, I e II, da Carta Magna, pois o custo gerado para o cumprimento da norma seria irrisório, sendo todo o aparato administrativo necessário ao cumprimento da determinação legal preexistente. 6. Ação julgada improcedente. (ADI 2444, Relator(a): Min. DIAS TOFFOLI, Tribunal Pleno, julgado em 06/11/2014, ACÓRDÃO ELETRÔNICO DJe-021 DIVULG 30-01-2015 PUBLIC 02-02-2015)</w:t>
      </w:r>
    </w:p>
    <w:p w14:paraId="474C853C" w14:textId="77777777" w:rsidR="00945081" w:rsidRPr="00945081" w:rsidRDefault="00945081" w:rsidP="00945081">
      <w:pPr>
        <w:suppressAutoHyphens/>
        <w:spacing w:line="360" w:lineRule="auto"/>
        <w:ind w:firstLine="113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0126B892" w14:textId="77777777" w:rsidR="00945081" w:rsidRDefault="00945081" w:rsidP="00945081">
      <w:pPr>
        <w:suppressAutoHyphens/>
        <w:spacing w:after="200" w:line="360" w:lineRule="auto"/>
        <w:ind w:firstLine="1134"/>
        <w:jc w:val="both"/>
        <w:rPr>
          <w:rFonts w:ascii="Calibri" w:eastAsia="Calibri" w:hAnsi="Calibri" w:cs="Calibri"/>
          <w:lang w:eastAsia="en-US"/>
        </w:rPr>
      </w:pPr>
    </w:p>
    <w:p w14:paraId="5DA02B55" w14:textId="3BC7F59F" w:rsidR="00945081" w:rsidRPr="00945081" w:rsidRDefault="00945081" w:rsidP="00945081">
      <w:pPr>
        <w:suppressAutoHyphens/>
        <w:spacing w:after="200" w:line="360" w:lineRule="auto"/>
        <w:ind w:firstLine="1418"/>
        <w:jc w:val="both"/>
        <w:rPr>
          <w:rFonts w:ascii="Calibri" w:eastAsia="Calibri" w:hAnsi="Calibri" w:cs="Calibri"/>
          <w:lang w:eastAsia="en-US"/>
        </w:rPr>
      </w:pPr>
      <w:r w:rsidRPr="00945081">
        <w:rPr>
          <w:rFonts w:ascii="Calibri" w:eastAsia="Calibri" w:hAnsi="Calibri" w:cs="Calibri"/>
          <w:lang w:eastAsia="en-US"/>
        </w:rPr>
        <w:lastRenderedPageBreak/>
        <w:t>Conforme a Suprema Corte (Representação nº 1.153-4/RS, voto do Min. Moreira Alves), os Estados "</w:t>
      </w:r>
      <w:r w:rsidRPr="00945081">
        <w:rPr>
          <w:rFonts w:ascii="Calibri" w:eastAsia="Calibri" w:hAnsi="Calibri" w:cs="Calibri"/>
          <w:i/>
          <w:iCs/>
          <w:lang w:eastAsia="en-US"/>
        </w:rPr>
        <w:t>podem legislar sobre as matérias que não estão reservadas à União e que não digam respeito à administração própria dos Municípios, no que concerne ao seu peculiar interesse</w:t>
      </w:r>
      <w:r w:rsidRPr="00945081">
        <w:rPr>
          <w:rFonts w:ascii="Calibri" w:eastAsia="Calibri" w:hAnsi="Calibri" w:cs="Calibri"/>
          <w:lang w:eastAsia="en-US"/>
        </w:rPr>
        <w:t xml:space="preserve">". </w:t>
      </w:r>
    </w:p>
    <w:p w14:paraId="64AB423B" w14:textId="77777777" w:rsidR="00945081" w:rsidRPr="00945081" w:rsidRDefault="00945081" w:rsidP="00945081">
      <w:pPr>
        <w:suppressAutoHyphens/>
        <w:spacing w:after="200" w:line="360" w:lineRule="auto"/>
        <w:ind w:firstLine="1418"/>
        <w:jc w:val="both"/>
        <w:rPr>
          <w:rFonts w:ascii="Calibri" w:eastAsia="Calibri" w:hAnsi="Calibri" w:cs="Calibri"/>
          <w:lang w:eastAsia="en-US"/>
        </w:rPr>
      </w:pPr>
      <w:r w:rsidRPr="00945081">
        <w:rPr>
          <w:rFonts w:ascii="Calibri" w:eastAsia="Calibri" w:hAnsi="Calibri" w:cs="Calibri"/>
          <w:lang w:eastAsia="en-US"/>
        </w:rPr>
        <w:t xml:space="preserve">Assim, quanto à constitucionalidade formal orgânica, a proposição encontra amparo no art. 25, §1º, da CRFB/88, que confere aos Estados a competência legislativa residual (também denominada remanescente ou reservada), </w:t>
      </w:r>
      <w:r w:rsidRPr="00945081">
        <w:rPr>
          <w:rFonts w:ascii="Calibri" w:eastAsia="Calibri" w:hAnsi="Calibri" w:cs="Calibri"/>
          <w:i/>
          <w:iCs/>
          <w:lang w:eastAsia="en-US"/>
        </w:rPr>
        <w:t xml:space="preserve">ipsis </w:t>
      </w:r>
      <w:proofErr w:type="spellStart"/>
      <w:r w:rsidRPr="00945081">
        <w:rPr>
          <w:rFonts w:ascii="Calibri" w:eastAsia="Calibri" w:hAnsi="Calibri" w:cs="Calibri"/>
          <w:i/>
          <w:iCs/>
          <w:lang w:eastAsia="en-US"/>
        </w:rPr>
        <w:t>verbis</w:t>
      </w:r>
      <w:proofErr w:type="spellEnd"/>
      <w:r w:rsidRPr="00945081">
        <w:rPr>
          <w:rFonts w:ascii="Calibri" w:eastAsia="Calibri" w:hAnsi="Calibri" w:cs="Calibri"/>
          <w:lang w:eastAsia="en-US"/>
        </w:rPr>
        <w:t xml:space="preserve">:  </w:t>
      </w:r>
    </w:p>
    <w:p w14:paraId="1918AFEC" w14:textId="77777777" w:rsidR="00945081" w:rsidRPr="00945081" w:rsidRDefault="00945081" w:rsidP="00945081">
      <w:pPr>
        <w:suppressAutoHyphens/>
        <w:ind w:left="2832"/>
        <w:jc w:val="both"/>
        <w:rPr>
          <w:rFonts w:ascii="Calibri" w:hAnsi="Calibri"/>
          <w:sz w:val="20"/>
          <w:szCs w:val="20"/>
          <w:lang w:val="x-none" w:eastAsia="x-none"/>
        </w:rPr>
      </w:pPr>
      <w:r w:rsidRPr="00945081">
        <w:rPr>
          <w:rFonts w:ascii="Calibri" w:eastAsia="Arial" w:hAnsi="Calibri" w:cs="Arial"/>
          <w:color w:val="000000"/>
          <w:sz w:val="20"/>
          <w:szCs w:val="20"/>
          <w:lang w:val="x-none" w:eastAsia="x-none"/>
        </w:rPr>
        <w:t>Art. 25. Os Estados organizam-se e regem-se pelas Constituições e leis que adotarem, observados os princípios desta Constituição.</w:t>
      </w:r>
    </w:p>
    <w:p w14:paraId="6321A615" w14:textId="77777777" w:rsidR="00945081" w:rsidRPr="00945081" w:rsidRDefault="00945081" w:rsidP="00945081">
      <w:pPr>
        <w:suppressAutoHyphens/>
        <w:spacing w:after="57"/>
        <w:ind w:left="2832"/>
        <w:jc w:val="both"/>
        <w:rPr>
          <w:rFonts w:ascii="Calibri" w:hAnsi="Calibri"/>
          <w:sz w:val="20"/>
          <w:szCs w:val="20"/>
          <w:lang w:val="x-none" w:eastAsia="x-none"/>
        </w:rPr>
      </w:pPr>
      <w:r w:rsidRPr="00945081">
        <w:rPr>
          <w:rFonts w:ascii="Calibri" w:eastAsia="Arial" w:hAnsi="Calibri" w:cs="Arial"/>
          <w:color w:val="000000"/>
          <w:sz w:val="20"/>
          <w:szCs w:val="20"/>
          <w:lang w:val="x-none" w:eastAsia="x-none"/>
        </w:rPr>
        <w:t>§</w:t>
      </w:r>
      <w:r w:rsidRPr="00945081">
        <w:rPr>
          <w:rFonts w:ascii="Calibri" w:hAnsi="Calibri"/>
          <w:sz w:val="20"/>
          <w:szCs w:val="20"/>
          <w:lang w:val="x-none" w:eastAsia="x-none"/>
        </w:rPr>
        <w:t xml:space="preserve"> 1º São reservadas aos Estados as competências que não lhes sejam vedadas por esta Constituição.</w:t>
      </w:r>
    </w:p>
    <w:p w14:paraId="7249AA00" w14:textId="77777777" w:rsidR="00945081" w:rsidRDefault="00945081" w:rsidP="00945081">
      <w:pPr>
        <w:suppressAutoHyphens/>
        <w:spacing w:line="360" w:lineRule="auto"/>
        <w:ind w:firstLine="1134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1CED5A0F" w14:textId="54B30167" w:rsidR="00945081" w:rsidRPr="00945081" w:rsidRDefault="00945081" w:rsidP="00945081">
      <w:pPr>
        <w:suppressAutoHyphens/>
        <w:spacing w:line="360" w:lineRule="auto"/>
        <w:ind w:firstLine="1134"/>
        <w:jc w:val="both"/>
        <w:rPr>
          <w:rFonts w:ascii="Calibri" w:eastAsia="Calibri" w:hAnsi="Calibri" w:cs="Calibri"/>
          <w:color w:val="000000"/>
          <w:lang w:eastAsia="en-US"/>
        </w:rPr>
      </w:pPr>
      <w:r w:rsidRPr="00945081">
        <w:rPr>
          <w:rFonts w:ascii="Calibri" w:eastAsia="Calibri" w:hAnsi="Calibri" w:cs="Calibri"/>
          <w:color w:val="000000"/>
          <w:lang w:eastAsia="en-US"/>
        </w:rPr>
        <w:t>Entretanto, quanto ao parágrafo 1° do art. 1°, bem como quanto ao art. 3° da proposição, é oportuna a análise detalhada:</w:t>
      </w:r>
    </w:p>
    <w:p w14:paraId="58A4B08A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945081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[...] </w:t>
      </w:r>
    </w:p>
    <w:p w14:paraId="411575B9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bCs/>
          <w:color w:val="000000"/>
          <w:sz w:val="20"/>
          <w:szCs w:val="20"/>
          <w:lang w:val="pt-PT" w:eastAsia="en-US"/>
        </w:rPr>
      </w:pPr>
      <w:r w:rsidRPr="00945081">
        <w:rPr>
          <w:rFonts w:ascii="Calibri" w:eastAsia="Calibri" w:hAnsi="Calibri" w:cs="Calibri"/>
          <w:bCs/>
          <w:color w:val="000000"/>
          <w:sz w:val="20"/>
          <w:szCs w:val="20"/>
          <w:lang w:val="pt-PT" w:eastAsia="en-US"/>
        </w:rPr>
        <w:t>§1º. Os relatórios serão publicados semestralmente ou sempre que houver alterações significativas no estado de conservação das obras.</w:t>
      </w:r>
    </w:p>
    <w:p w14:paraId="6F522102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3CC92BA9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0"/>
          <w:szCs w:val="20"/>
          <w:lang w:val="pt-PT" w:eastAsia="en-US"/>
        </w:rPr>
      </w:pPr>
      <w:r w:rsidRPr="00945081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Art. 3º </w:t>
      </w:r>
      <w:r w:rsidRPr="00945081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 </w:t>
      </w:r>
      <w:r w:rsidRPr="00945081">
        <w:rPr>
          <w:rFonts w:ascii="Calibri" w:eastAsia="Calibri" w:hAnsi="Calibri" w:cs="Calibri"/>
          <w:color w:val="000000"/>
          <w:sz w:val="20"/>
          <w:szCs w:val="20"/>
          <w:lang w:val="pt-PT" w:eastAsia="en-US"/>
        </w:rPr>
        <w:t>Poder Público disponibilizará, no sítio eletrônico oficial, um canal de comunicação para que a população possa enviar dúvidas, sugestões ou denúncias relacionadas aos relatórios técnicos publicados, as quais deverão ser respondidas no prazo máximo de 10 (dez) dias úteis.</w:t>
      </w:r>
    </w:p>
    <w:p w14:paraId="0C9CB575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0"/>
          <w:szCs w:val="20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0"/>
          <w:szCs w:val="20"/>
          <w:lang w:val="pt-PT" w:eastAsia="en-US"/>
        </w:rPr>
        <w:t>§1º. O canal deverá permitir o envio de arquivos, como fotos ou vídeos, para complementar as denúncias ou sugestões apresentadas pela população.</w:t>
      </w:r>
    </w:p>
    <w:p w14:paraId="72EA12C8" w14:textId="77777777" w:rsidR="00945081" w:rsidRPr="00945081" w:rsidRDefault="00945081" w:rsidP="00945081">
      <w:pPr>
        <w:suppressAutoHyphens/>
        <w:ind w:left="3402"/>
        <w:jc w:val="both"/>
        <w:rPr>
          <w:rFonts w:ascii="Calibri" w:eastAsia="Calibri" w:hAnsi="Calibri" w:cs="Calibri"/>
          <w:color w:val="000000"/>
          <w:sz w:val="20"/>
          <w:szCs w:val="20"/>
          <w:lang w:val="pt-PT" w:eastAsia="en-US"/>
        </w:rPr>
      </w:pPr>
      <w:r w:rsidRPr="00945081">
        <w:rPr>
          <w:rFonts w:ascii="Calibri" w:eastAsia="Calibri" w:hAnsi="Calibri" w:cs="Calibri"/>
          <w:color w:val="000000"/>
          <w:sz w:val="20"/>
          <w:szCs w:val="20"/>
          <w:lang w:val="pt-PT" w:eastAsia="en-US"/>
        </w:rPr>
        <w:t>§2º. Um relatório semestral deverá ser publicado consolidando as contribuições recebidas pelo canal de comunicação e as providências tomadas.</w:t>
      </w:r>
    </w:p>
    <w:p w14:paraId="18DF7539" w14:textId="77777777" w:rsidR="00945081" w:rsidRPr="00945081" w:rsidRDefault="00945081" w:rsidP="00945081">
      <w:pPr>
        <w:suppressAutoHyphens/>
        <w:spacing w:line="360" w:lineRule="auto"/>
        <w:jc w:val="both"/>
        <w:rPr>
          <w:rFonts w:ascii="Calibri" w:eastAsia="Arial" w:hAnsi="Calibri" w:cs="Arial"/>
          <w:color w:val="000000"/>
          <w:lang w:eastAsia="en-US"/>
        </w:rPr>
      </w:pPr>
    </w:p>
    <w:p w14:paraId="4FA0DB35" w14:textId="08C5E666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Arial" w:hAnsi="Calibri" w:cs="Arial"/>
          <w:b/>
          <w:bCs/>
          <w:color w:val="000000"/>
          <w:lang w:eastAsia="en-US"/>
        </w:rPr>
      </w:pPr>
      <w:r w:rsidRPr="00945081">
        <w:rPr>
          <w:rFonts w:ascii="Calibri" w:eastAsia="Arial" w:hAnsi="Calibri" w:cs="Arial"/>
          <w:color w:val="000000"/>
          <w:lang w:eastAsia="en-US"/>
        </w:rPr>
        <w:t>Ao</w:t>
      </w:r>
      <w:r w:rsidRPr="00945081">
        <w:rPr>
          <w:rFonts w:ascii="Calibri" w:eastAsia="Calibri" w:hAnsi="Calibri" w:cs="Calibri"/>
          <w:lang w:eastAsia="en-US"/>
        </w:rPr>
        <w:t xml:space="preserve"> estabelecer prazos para o Poder Executivo, minuciando também especificidades do funcionamento do canal de comunicação, entende-se que a proposição adentra no mérito dos critérios de gestão e organização administrativa afetos ao chefe do Poder Executivo (art. 43 da CE/MA). Em razão disso, </w:t>
      </w:r>
      <w:r w:rsidRPr="00945081">
        <w:rPr>
          <w:rFonts w:ascii="Calibri" w:eastAsia="Arial" w:hAnsi="Calibri" w:cs="Arial"/>
          <w:b/>
          <w:bCs/>
          <w:color w:val="000000"/>
          <w:lang w:eastAsia="en-US"/>
        </w:rPr>
        <w:t xml:space="preserve">recomenda-se emenda supressiva ao §1° do art. 1°, bem como ao art. 3° do </w:t>
      </w:r>
      <w:r>
        <w:rPr>
          <w:rFonts w:ascii="Calibri" w:eastAsia="Arial" w:hAnsi="Calibri" w:cs="Arial"/>
          <w:b/>
          <w:bCs/>
          <w:color w:val="000000"/>
          <w:lang w:eastAsia="en-US"/>
        </w:rPr>
        <w:t>P</w:t>
      </w:r>
      <w:r w:rsidRPr="00945081">
        <w:rPr>
          <w:rFonts w:ascii="Calibri" w:eastAsia="Arial" w:hAnsi="Calibri" w:cs="Arial"/>
          <w:b/>
          <w:bCs/>
          <w:color w:val="000000"/>
          <w:lang w:eastAsia="en-US"/>
        </w:rPr>
        <w:t>rojeto</w:t>
      </w:r>
      <w:r>
        <w:rPr>
          <w:rFonts w:ascii="Calibri" w:eastAsia="Arial" w:hAnsi="Calibri" w:cs="Arial"/>
          <w:b/>
          <w:bCs/>
          <w:color w:val="000000"/>
          <w:lang w:eastAsia="en-US"/>
        </w:rPr>
        <w:t xml:space="preserve"> de Lei</w:t>
      </w:r>
      <w:r w:rsidRPr="00945081">
        <w:rPr>
          <w:rFonts w:ascii="Calibri" w:eastAsia="Arial" w:hAnsi="Calibri" w:cs="Arial"/>
          <w:b/>
          <w:bCs/>
          <w:color w:val="000000"/>
          <w:lang w:eastAsia="en-US"/>
        </w:rPr>
        <w:t>, nos termos do art. 164, §2° do Regimento Interno.</w:t>
      </w:r>
    </w:p>
    <w:p w14:paraId="69064F60" w14:textId="77777777" w:rsidR="00945081" w:rsidRPr="00945081" w:rsidRDefault="00945081" w:rsidP="00945081">
      <w:pPr>
        <w:suppressAutoHyphens/>
        <w:spacing w:line="360" w:lineRule="auto"/>
        <w:ind w:firstLine="1134"/>
        <w:jc w:val="both"/>
        <w:rPr>
          <w:rFonts w:ascii="Calibri" w:eastAsia="Arial" w:hAnsi="Calibri" w:cs="Arial"/>
          <w:b/>
          <w:bCs/>
          <w:color w:val="000000"/>
          <w:lang w:eastAsia="en-US"/>
        </w:rPr>
      </w:pPr>
    </w:p>
    <w:p w14:paraId="32200EE3" w14:textId="77777777" w:rsidR="00945081" w:rsidRPr="00945081" w:rsidRDefault="00945081" w:rsidP="00945081">
      <w:pPr>
        <w:suppressAutoHyphens/>
        <w:spacing w:line="360" w:lineRule="auto"/>
        <w:ind w:firstLine="1418"/>
        <w:jc w:val="both"/>
        <w:rPr>
          <w:rFonts w:ascii="Calibri" w:eastAsia="Calibri" w:hAnsi="Calibri" w:cs="Calibri"/>
          <w:color w:val="000000"/>
          <w:lang w:eastAsia="en-US"/>
        </w:rPr>
      </w:pPr>
      <w:r w:rsidRPr="00945081">
        <w:rPr>
          <w:rFonts w:ascii="Calibri" w:eastAsia="Calibri" w:hAnsi="Calibri" w:cs="Arial"/>
          <w:lang w:eastAsia="en-US"/>
        </w:rPr>
        <w:lastRenderedPageBreak/>
        <w:t xml:space="preserve">Realizadas as adequações propostas, não são visualizados vícios materiais ou formais aptos a invalidar a atividade legiferante para disciplinar a temática </w:t>
      </w:r>
      <w:r w:rsidRPr="00945081">
        <w:rPr>
          <w:rFonts w:ascii="Calibri" w:eastAsia="Calibri" w:hAnsi="Calibri" w:cs="Arial"/>
          <w:i/>
          <w:iCs/>
          <w:lang w:eastAsia="en-US"/>
        </w:rPr>
        <w:t xml:space="preserve">in </w:t>
      </w:r>
      <w:proofErr w:type="spellStart"/>
      <w:r w:rsidRPr="00945081">
        <w:rPr>
          <w:rFonts w:ascii="Calibri" w:eastAsia="Calibri" w:hAnsi="Calibri" w:cs="Arial"/>
          <w:i/>
          <w:iCs/>
          <w:lang w:eastAsia="en-US"/>
        </w:rPr>
        <w:t>casu</w:t>
      </w:r>
      <w:proofErr w:type="spellEnd"/>
      <w:r w:rsidRPr="00945081">
        <w:rPr>
          <w:rFonts w:ascii="Calibri" w:eastAsia="Calibri" w:hAnsi="Calibri" w:cs="Arial"/>
          <w:i/>
          <w:iCs/>
          <w:lang w:eastAsia="en-US"/>
        </w:rPr>
        <w:t xml:space="preserve">, </w:t>
      </w:r>
      <w:r w:rsidRPr="00945081">
        <w:rPr>
          <w:rFonts w:ascii="Calibri" w:eastAsia="Calibri" w:hAnsi="Calibri" w:cs="Arial"/>
          <w:lang w:eastAsia="en-US"/>
        </w:rPr>
        <w:t>que</w:t>
      </w:r>
      <w:r w:rsidRPr="00945081">
        <w:rPr>
          <w:rFonts w:ascii="Calibri" w:eastAsia="Calibri" w:hAnsi="Calibri" w:cs="Arial"/>
          <w:i/>
          <w:iCs/>
          <w:lang w:eastAsia="en-US"/>
        </w:rPr>
        <w:t xml:space="preserve"> </w:t>
      </w:r>
      <w:r w:rsidRPr="00945081">
        <w:rPr>
          <w:rFonts w:ascii="Calibri" w:eastAsia="Calibri" w:hAnsi="Calibri" w:cs="Arial"/>
          <w:lang w:eastAsia="en-US"/>
        </w:rPr>
        <w:t>não ultraja parâmetros, valores ou princípios constitucionais. Situa-se, assim, dentro do amplo espaço de conformação legislativa.</w:t>
      </w:r>
    </w:p>
    <w:p w14:paraId="6056B904" w14:textId="77777777" w:rsidR="00945081" w:rsidRDefault="00945081" w:rsidP="00945081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2F1C12C3" w14:textId="7546DE11" w:rsidR="0049328B" w:rsidRPr="0088507E" w:rsidRDefault="0049328B" w:rsidP="00F858C7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8507E">
        <w:rPr>
          <w:rFonts w:asciiTheme="minorHAnsi" w:eastAsia="Calibri" w:hAnsiTheme="minorHAnsi" w:cstheme="minorHAnsi"/>
          <w:b/>
          <w:u w:val="single"/>
          <w:lang w:eastAsia="en-US"/>
        </w:rPr>
        <w:t>VOTO DO RELATOR</w:t>
      </w:r>
      <w:r w:rsidRPr="0088507E">
        <w:rPr>
          <w:rFonts w:asciiTheme="minorHAnsi" w:eastAsia="Calibri" w:hAnsiTheme="minorHAnsi" w:cstheme="minorHAnsi"/>
          <w:b/>
          <w:lang w:eastAsia="en-US"/>
        </w:rPr>
        <w:t>:</w:t>
      </w:r>
    </w:p>
    <w:p w14:paraId="01E2F359" w14:textId="18F600E4" w:rsidR="00945081" w:rsidRDefault="00945081" w:rsidP="00F858C7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945081">
        <w:rPr>
          <w:rFonts w:asciiTheme="minorHAnsi" w:hAnsiTheme="minorHAnsi" w:cstheme="minorHAnsi"/>
        </w:rPr>
        <w:t>Diante do exposto, opinamos pela aprovação</w:t>
      </w:r>
      <w:r>
        <w:rPr>
          <w:rFonts w:asciiTheme="minorHAnsi" w:hAnsiTheme="minorHAnsi" w:cstheme="minorHAnsi"/>
        </w:rPr>
        <w:t xml:space="preserve"> do Projeto de Lei nº 004/2025, </w:t>
      </w:r>
      <w:proofErr w:type="gramStart"/>
      <w:r>
        <w:rPr>
          <w:rFonts w:asciiTheme="minorHAnsi" w:hAnsiTheme="minorHAnsi" w:cstheme="minorHAnsi"/>
        </w:rPr>
        <w:t xml:space="preserve">com </w:t>
      </w:r>
      <w:r w:rsidRPr="00945081">
        <w:rPr>
          <w:rFonts w:asciiTheme="minorHAnsi" w:hAnsiTheme="minorHAnsi" w:cstheme="minorHAnsi"/>
        </w:rPr>
        <w:t xml:space="preserve"> emenda</w:t>
      </w:r>
      <w:proofErr w:type="gramEnd"/>
      <w:r w:rsidRPr="00945081">
        <w:rPr>
          <w:rFonts w:asciiTheme="minorHAnsi" w:hAnsiTheme="minorHAnsi" w:cstheme="minorHAnsi"/>
        </w:rPr>
        <w:t xml:space="preserve"> supressiva ao §1° do art. 1°, bem como ao art. 3°</w:t>
      </w:r>
      <w:r>
        <w:rPr>
          <w:rFonts w:asciiTheme="minorHAnsi" w:hAnsiTheme="minorHAnsi" w:cstheme="minorHAnsi"/>
        </w:rPr>
        <w:t>, da propositura de Lei, conforme acima sugerida.</w:t>
      </w:r>
      <w:r w:rsidRPr="00945081">
        <w:rPr>
          <w:rFonts w:asciiTheme="minorHAnsi" w:hAnsiTheme="minorHAnsi" w:cstheme="minorHAnsi"/>
        </w:rPr>
        <w:t xml:space="preserve">    </w:t>
      </w:r>
    </w:p>
    <w:p w14:paraId="4497FB05" w14:textId="76C86BF8" w:rsidR="003F40A1" w:rsidRPr="0088507E" w:rsidRDefault="003F40A1" w:rsidP="00F858C7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88507E">
        <w:rPr>
          <w:rFonts w:asciiTheme="minorHAnsi" w:hAnsiTheme="minorHAnsi" w:cstheme="minorHAnsi"/>
        </w:rPr>
        <w:t>É o voto.</w:t>
      </w:r>
    </w:p>
    <w:p w14:paraId="2B7A96FF" w14:textId="77777777" w:rsidR="00945081" w:rsidRDefault="00945081" w:rsidP="00F858C7">
      <w:pPr>
        <w:spacing w:line="360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516F144C" w14:textId="308CFAB4" w:rsidR="002C7482" w:rsidRPr="0088507E" w:rsidRDefault="002C7482" w:rsidP="00F858C7">
      <w:pPr>
        <w:spacing w:line="360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88507E">
        <w:rPr>
          <w:rFonts w:asciiTheme="minorHAnsi" w:eastAsia="Calibri" w:hAnsiTheme="minorHAnsi" w:cstheme="minorHAnsi"/>
          <w:b/>
          <w:u w:val="single"/>
          <w:lang w:eastAsia="en-US"/>
        </w:rPr>
        <w:t>PARECER DA COMISSÃO:</w:t>
      </w:r>
    </w:p>
    <w:p w14:paraId="2D6A89EB" w14:textId="62BF539A" w:rsidR="002C7482" w:rsidRPr="0088507E" w:rsidRDefault="002C7482" w:rsidP="00F858C7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eastAsia="Calibri" w:hAnsiTheme="minorHAnsi" w:cstheme="minorHAnsi"/>
          <w:lang w:eastAsia="en-US"/>
        </w:rPr>
      </w:pPr>
      <w:r w:rsidRPr="0088507E">
        <w:rPr>
          <w:rFonts w:asciiTheme="minorHAnsi" w:eastAsia="Calibri" w:hAnsiTheme="minorHAnsi" w:cstheme="minorHAnsi"/>
          <w:lang w:eastAsia="en-US"/>
        </w:rPr>
        <w:t>Os membros da Comissão de Constituição, Justiça e Cidadania</w:t>
      </w:r>
      <w:r w:rsidRPr="0088507E">
        <w:rPr>
          <w:rFonts w:asciiTheme="minorHAnsi" w:eastAsia="Calibri" w:hAnsiTheme="minorHAnsi" w:cstheme="minorHAnsi"/>
          <w:bCs/>
          <w:kern w:val="32"/>
          <w:lang w:eastAsia="en-US"/>
        </w:rPr>
        <w:t xml:space="preserve"> votam pela </w:t>
      </w:r>
      <w:r w:rsidR="00945081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aprovação </w:t>
      </w:r>
      <w:r w:rsidRPr="0088507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do Projeto de Lei Ordinária nº </w:t>
      </w:r>
      <w:r w:rsidR="00945081">
        <w:rPr>
          <w:rFonts w:asciiTheme="minorHAnsi" w:eastAsia="Calibri" w:hAnsiTheme="minorHAnsi" w:cstheme="minorHAnsi"/>
          <w:b/>
          <w:bCs/>
          <w:color w:val="000000"/>
          <w:lang w:eastAsia="en-US"/>
        </w:rPr>
        <w:t>004</w:t>
      </w:r>
      <w:r w:rsidR="009E583F" w:rsidRPr="0088507E">
        <w:rPr>
          <w:rFonts w:asciiTheme="minorHAnsi" w:eastAsia="Calibri" w:hAnsiTheme="minorHAnsi" w:cstheme="minorHAnsi"/>
          <w:b/>
          <w:bCs/>
          <w:color w:val="000000"/>
          <w:lang w:eastAsia="en-US"/>
        </w:rPr>
        <w:t>/2025</w:t>
      </w:r>
      <w:r w:rsidRPr="0088507E">
        <w:rPr>
          <w:rFonts w:asciiTheme="minorHAnsi" w:eastAsia="Calibri" w:hAnsiTheme="minorHAnsi" w:cstheme="minorHAnsi"/>
          <w:lang w:eastAsia="en-US"/>
        </w:rPr>
        <w:t>, nos termos do voto do Relator</w:t>
      </w:r>
      <w:r w:rsidR="009E583F" w:rsidRPr="0088507E">
        <w:rPr>
          <w:rFonts w:asciiTheme="minorHAnsi" w:eastAsia="Calibri" w:hAnsiTheme="minorHAnsi" w:cstheme="minorHAnsi"/>
          <w:lang w:eastAsia="en-US"/>
        </w:rPr>
        <w:t>.</w:t>
      </w:r>
    </w:p>
    <w:p w14:paraId="63987980" w14:textId="77777777" w:rsidR="00F858C7" w:rsidRPr="0088507E" w:rsidRDefault="002C7482" w:rsidP="00F858C7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88507E">
        <w:rPr>
          <w:rFonts w:asciiTheme="minorHAnsi" w:hAnsiTheme="minorHAnsi" w:cstheme="minorHAnsi"/>
        </w:rPr>
        <w:t>É o parecer</w:t>
      </w:r>
      <w:r w:rsidR="006D2119" w:rsidRPr="0088507E">
        <w:rPr>
          <w:rFonts w:asciiTheme="minorHAnsi" w:hAnsiTheme="minorHAnsi" w:cstheme="minorHAnsi"/>
        </w:rPr>
        <w:t>.</w:t>
      </w:r>
    </w:p>
    <w:p w14:paraId="567CFA8A" w14:textId="33C20920" w:rsidR="00F858C7" w:rsidRPr="0088507E" w:rsidRDefault="00F858C7" w:rsidP="00F858C7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88507E">
        <w:rPr>
          <w:rFonts w:asciiTheme="minorHAnsi" w:hAnsiTheme="minorHAnsi" w:cstheme="minorHAnsi"/>
          <w:bCs/>
          <w:color w:val="000000"/>
        </w:rPr>
        <w:t>Sala das Comissões “</w:t>
      </w:r>
      <w:r w:rsidRPr="0088507E">
        <w:rPr>
          <w:rFonts w:asciiTheme="minorHAnsi" w:hAnsiTheme="minorHAnsi" w:cstheme="minorHAnsi"/>
          <w:b/>
          <w:bCs/>
          <w:color w:val="000000"/>
        </w:rPr>
        <w:t>Deputado Léo Franklin</w:t>
      </w:r>
      <w:r w:rsidRPr="0088507E">
        <w:rPr>
          <w:rFonts w:asciiTheme="minorHAnsi" w:hAnsiTheme="minorHAnsi" w:cstheme="minorHAnsi"/>
          <w:bCs/>
          <w:color w:val="000000"/>
        </w:rPr>
        <w:t xml:space="preserve">”, em </w:t>
      </w:r>
      <w:r w:rsidR="000A330C">
        <w:rPr>
          <w:rFonts w:asciiTheme="minorHAnsi" w:hAnsiTheme="minorHAnsi" w:cstheme="minorHAnsi"/>
          <w:bCs/>
          <w:color w:val="000000"/>
        </w:rPr>
        <w:t>22</w:t>
      </w:r>
      <w:r w:rsidRPr="0088507E">
        <w:rPr>
          <w:rFonts w:asciiTheme="minorHAnsi" w:hAnsiTheme="minorHAnsi" w:cstheme="minorHAnsi"/>
          <w:bCs/>
          <w:color w:val="000000"/>
        </w:rPr>
        <w:t xml:space="preserve"> de abril de 2025. </w:t>
      </w:r>
    </w:p>
    <w:p w14:paraId="3D02DA9D" w14:textId="07DD5848" w:rsidR="006608EA" w:rsidRPr="006608EA" w:rsidRDefault="00F858C7" w:rsidP="006608E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Calibri"/>
          <w:color w:val="000000"/>
        </w:rPr>
      </w:pPr>
      <w:r w:rsidRPr="0088507E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</w:t>
      </w:r>
      <w:r w:rsidR="006608EA" w:rsidRPr="006608EA">
        <w:rPr>
          <w:rFonts w:ascii="Calibri" w:hAnsi="Calibri" w:cs="Calibri"/>
          <w:color w:val="000000"/>
        </w:rPr>
        <w:t xml:space="preserve">                    </w:t>
      </w:r>
    </w:p>
    <w:p w14:paraId="3189A070" w14:textId="1DE12145" w:rsidR="006608EA" w:rsidRPr="006608EA" w:rsidRDefault="006608EA" w:rsidP="006608EA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="Calibri" w:hAnsi="Calibri" w:cs="Calibri"/>
          <w:b/>
          <w:color w:val="000000"/>
        </w:rPr>
      </w:pPr>
      <w:r w:rsidRPr="006608EA">
        <w:rPr>
          <w:rFonts w:ascii="Calibri" w:hAnsi="Calibri" w:cs="Calibri"/>
          <w:b/>
          <w:color w:val="000000"/>
        </w:rPr>
        <w:t xml:space="preserve">                                                                                      </w:t>
      </w:r>
    </w:p>
    <w:p w14:paraId="07DCB5A5" w14:textId="77777777" w:rsidR="006608EA" w:rsidRPr="006608EA" w:rsidRDefault="006608EA" w:rsidP="006608EA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color w:val="000000"/>
        </w:rPr>
      </w:pPr>
      <w:r w:rsidRPr="006608EA">
        <w:rPr>
          <w:rFonts w:ascii="Calibri" w:hAnsi="Calibri" w:cs="Calibri"/>
          <w:b/>
          <w:color w:val="000000"/>
        </w:rPr>
        <w:t>Presidente</w:t>
      </w:r>
      <w:r w:rsidRPr="006608EA">
        <w:rPr>
          <w:rFonts w:ascii="Calibri" w:hAnsi="Calibri" w:cs="Calibri"/>
          <w:color w:val="000000"/>
        </w:rPr>
        <w:t>: Deputado Florêncio Neto</w:t>
      </w:r>
    </w:p>
    <w:p w14:paraId="39311CF6" w14:textId="5D7DF8C3" w:rsidR="006608EA" w:rsidRPr="006608EA" w:rsidRDefault="006608EA" w:rsidP="006608EA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</w:rPr>
      </w:pPr>
      <w:r w:rsidRPr="006608EA">
        <w:rPr>
          <w:rFonts w:ascii="Calibri" w:hAnsi="Calibri" w:cs="Calibri"/>
          <w:b/>
          <w:color w:val="000000"/>
        </w:rPr>
        <w:t xml:space="preserve">                                            </w:t>
      </w:r>
      <w:r>
        <w:rPr>
          <w:rFonts w:ascii="Calibri" w:hAnsi="Calibri" w:cs="Calibri"/>
          <w:b/>
          <w:color w:val="000000"/>
        </w:rPr>
        <w:t xml:space="preserve">        </w:t>
      </w:r>
      <w:r w:rsidRPr="006608EA">
        <w:rPr>
          <w:rFonts w:ascii="Calibri" w:hAnsi="Calibri" w:cs="Calibri"/>
          <w:b/>
          <w:color w:val="000000"/>
        </w:rPr>
        <w:t xml:space="preserve"> Relator:</w:t>
      </w:r>
      <w:r w:rsidRPr="006608EA">
        <w:rPr>
          <w:rFonts w:ascii="Calibri" w:hAnsi="Calibri" w:cs="Calibri"/>
          <w:color w:val="000000"/>
        </w:rPr>
        <w:t xml:space="preserve">  Deputado </w:t>
      </w:r>
      <w:r>
        <w:rPr>
          <w:rFonts w:ascii="Calibri" w:hAnsi="Calibri" w:cs="Calibri"/>
          <w:color w:val="000000"/>
        </w:rPr>
        <w:t>Arnaldo Melo</w:t>
      </w:r>
    </w:p>
    <w:p w14:paraId="2C30CEAD" w14:textId="77777777" w:rsidR="006608EA" w:rsidRPr="006608EA" w:rsidRDefault="006608EA" w:rsidP="006608EA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color w:val="000000"/>
        </w:rPr>
      </w:pPr>
    </w:p>
    <w:p w14:paraId="67759D5C" w14:textId="77777777" w:rsidR="006608EA" w:rsidRPr="006608EA" w:rsidRDefault="006608EA" w:rsidP="006608EA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6608EA">
        <w:rPr>
          <w:rFonts w:ascii="Calibri" w:hAnsi="Calibri" w:cs="Calibri"/>
          <w:b/>
          <w:color w:val="000000"/>
        </w:rPr>
        <w:t xml:space="preserve">Vota a favor:                                                 </w:t>
      </w:r>
      <w:r w:rsidRPr="006608EA">
        <w:rPr>
          <w:rFonts w:ascii="Calibri" w:hAnsi="Calibri" w:cs="Calibri"/>
          <w:b/>
          <w:color w:val="000000"/>
        </w:rPr>
        <w:tab/>
        <w:t xml:space="preserve">              Vota contra:</w:t>
      </w:r>
    </w:p>
    <w:p w14:paraId="2622BC73" w14:textId="77777777" w:rsidR="006608EA" w:rsidRPr="006608EA" w:rsidRDefault="006608EA" w:rsidP="006608EA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6608EA">
        <w:rPr>
          <w:rFonts w:ascii="Calibri" w:hAnsi="Calibri" w:cs="Calibri"/>
          <w:color w:val="000000"/>
        </w:rPr>
        <w:t xml:space="preserve">Deputado Júlio Mendonça                   </w:t>
      </w:r>
      <w:r w:rsidRPr="006608EA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40A19CDD" w14:textId="77777777" w:rsidR="006608EA" w:rsidRPr="006608EA" w:rsidRDefault="006608EA" w:rsidP="006608EA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6608EA">
        <w:rPr>
          <w:rFonts w:ascii="Calibri" w:hAnsi="Calibri" w:cs="Calibri"/>
          <w:color w:val="000000"/>
        </w:rPr>
        <w:t xml:space="preserve">Deputado Ariston                                    </w:t>
      </w:r>
      <w:r w:rsidRPr="006608EA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130B9CB6" w14:textId="77777777" w:rsidR="006608EA" w:rsidRPr="006608EA" w:rsidRDefault="006608EA" w:rsidP="006608EA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6608EA">
        <w:rPr>
          <w:rFonts w:ascii="Calibri" w:hAnsi="Calibri" w:cs="Calibri"/>
          <w:color w:val="000000"/>
        </w:rPr>
        <w:t xml:space="preserve">___________________________                </w:t>
      </w:r>
      <w:r w:rsidRPr="006608EA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2BC1A58D" w14:textId="49D6F6D4" w:rsidR="009E583F" w:rsidRPr="0088507E" w:rsidRDefault="006608EA" w:rsidP="006608EA">
      <w:pPr>
        <w:tabs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6608EA">
        <w:rPr>
          <w:rFonts w:ascii="Calibri" w:hAnsi="Calibri" w:cs="Calibri"/>
          <w:color w:val="000000"/>
        </w:rPr>
        <w:t xml:space="preserve">___________________________           </w:t>
      </w:r>
      <w:r>
        <w:rPr>
          <w:rFonts w:ascii="Calibri" w:hAnsi="Calibri" w:cs="Calibri"/>
          <w:color w:val="000000"/>
        </w:rPr>
        <w:t xml:space="preserve">                      </w:t>
      </w:r>
      <w:r w:rsidRPr="006608EA">
        <w:rPr>
          <w:rFonts w:ascii="Calibri" w:hAnsi="Calibri" w:cs="Calibri"/>
          <w:color w:val="000000"/>
        </w:rPr>
        <w:t>__________________________</w:t>
      </w:r>
    </w:p>
    <w:sectPr w:rsidR="009E583F" w:rsidRPr="0088507E" w:rsidSect="00A70275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F77D8" w14:textId="77777777" w:rsidR="00E529F4" w:rsidRDefault="00E529F4">
      <w:r>
        <w:separator/>
      </w:r>
    </w:p>
  </w:endnote>
  <w:endnote w:type="continuationSeparator" w:id="0">
    <w:p w14:paraId="06A398D1" w14:textId="77777777" w:rsidR="00E529F4" w:rsidRDefault="00E5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4869A8" w:rsidRDefault="004869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C8F396" w14:textId="77777777" w:rsidR="004869A8" w:rsidRDefault="004869A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4869A8" w:rsidRPr="003925E9" w:rsidRDefault="004869A8">
    <w:pPr>
      <w:pStyle w:val="Rodap"/>
      <w:framePr w:wrap="around" w:vAnchor="text" w:hAnchor="margin" w:xAlign="right" w:y="1"/>
      <w:rPr>
        <w:rStyle w:val="Nmerodepgina"/>
        <w:rFonts w:asciiTheme="minorHAnsi" w:hAnsiTheme="minorHAnsi" w:cstheme="minorHAnsi"/>
        <w:sz w:val="20"/>
        <w:szCs w:val="20"/>
      </w:rPr>
    </w:pPr>
    <w:r w:rsidRPr="003925E9">
      <w:rPr>
        <w:rStyle w:val="Nmerodepgina"/>
        <w:rFonts w:asciiTheme="minorHAnsi" w:hAnsiTheme="minorHAnsi" w:cstheme="minorHAnsi"/>
        <w:sz w:val="20"/>
        <w:szCs w:val="20"/>
      </w:rPr>
      <w:fldChar w:fldCharType="begin"/>
    </w:r>
    <w:r w:rsidRPr="003925E9">
      <w:rPr>
        <w:rStyle w:val="Nmerodepgina"/>
        <w:rFonts w:asciiTheme="minorHAnsi" w:hAnsiTheme="minorHAnsi" w:cstheme="minorHAnsi"/>
        <w:sz w:val="20"/>
        <w:szCs w:val="20"/>
      </w:rPr>
      <w:instrText xml:space="preserve">PAGE  </w:instrText>
    </w:r>
    <w:r w:rsidRPr="003925E9">
      <w:rPr>
        <w:rStyle w:val="Nmerodepgina"/>
        <w:rFonts w:asciiTheme="minorHAnsi" w:hAnsiTheme="minorHAnsi" w:cstheme="minorHAnsi"/>
        <w:sz w:val="20"/>
        <w:szCs w:val="20"/>
      </w:rPr>
      <w:fldChar w:fldCharType="separate"/>
    </w:r>
    <w:r w:rsidR="005B3C02" w:rsidRPr="003925E9">
      <w:rPr>
        <w:rStyle w:val="Nmerodepgina"/>
        <w:rFonts w:asciiTheme="minorHAnsi" w:hAnsiTheme="minorHAnsi" w:cstheme="minorHAnsi"/>
        <w:noProof/>
        <w:sz w:val="20"/>
        <w:szCs w:val="20"/>
      </w:rPr>
      <w:t>3</w:t>
    </w:r>
    <w:r w:rsidRPr="003925E9">
      <w:rPr>
        <w:rStyle w:val="Nmerodepgina"/>
        <w:rFonts w:asciiTheme="minorHAnsi" w:hAnsiTheme="minorHAnsi" w:cstheme="minorHAnsi"/>
        <w:sz w:val="20"/>
        <w:szCs w:val="20"/>
      </w:rPr>
      <w:fldChar w:fldCharType="end"/>
    </w:r>
  </w:p>
  <w:p w14:paraId="3DEEC669" w14:textId="77777777" w:rsidR="004869A8" w:rsidRDefault="004869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4ED8" w14:textId="77777777" w:rsidR="00E529F4" w:rsidRDefault="00E529F4">
      <w:r>
        <w:separator/>
      </w:r>
    </w:p>
  </w:footnote>
  <w:footnote w:type="continuationSeparator" w:id="0">
    <w:p w14:paraId="3028FF17" w14:textId="77777777" w:rsidR="00E529F4" w:rsidRDefault="00E5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B9CA" w14:textId="67171061" w:rsidR="003F4C50" w:rsidRPr="00A70275" w:rsidRDefault="003F4C50" w:rsidP="00A70275">
    <w:pPr>
      <w:pStyle w:val="Cabealho"/>
      <w:tabs>
        <w:tab w:val="clear" w:pos="4252"/>
        <w:tab w:val="clear" w:pos="8504"/>
      </w:tabs>
      <w:ind w:right="-1"/>
      <w:jc w:val="center"/>
      <w:rPr>
        <w:rFonts w:asciiTheme="majorHAnsi" w:hAnsiTheme="majorHAnsi" w:cstheme="majorHAnsi"/>
        <w:sz w:val="20"/>
      </w:rPr>
    </w:pPr>
    <w:r w:rsidRPr="00A70275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019DB66E" wp14:editId="23CE848D">
          <wp:simplePos x="0" y="0"/>
          <wp:positionH relativeFrom="column">
            <wp:posOffset>2485116</wp:posOffset>
          </wp:positionH>
          <wp:positionV relativeFrom="paragraph">
            <wp:posOffset>99060</wp:posOffset>
          </wp:positionV>
          <wp:extent cx="948690" cy="819150"/>
          <wp:effectExtent l="0" t="0" r="3810" b="0"/>
          <wp:wrapTopAndBottom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0275">
      <w:rPr>
        <w:rFonts w:asciiTheme="majorHAnsi" w:hAnsiTheme="majorHAnsi" w:cstheme="majorHAnsi"/>
        <w:sz w:val="20"/>
      </w:rPr>
      <w:t>ESTADO DO MARANHÃO</w:t>
    </w:r>
  </w:p>
  <w:p w14:paraId="3F5141A4" w14:textId="2DA34779" w:rsidR="003F4C50" w:rsidRPr="00A70275" w:rsidRDefault="003F4C50" w:rsidP="00A70275">
    <w:pPr>
      <w:pStyle w:val="Cabealho"/>
      <w:tabs>
        <w:tab w:val="clear" w:pos="4252"/>
        <w:tab w:val="clear" w:pos="8504"/>
      </w:tabs>
      <w:ind w:right="-1"/>
      <w:jc w:val="center"/>
      <w:rPr>
        <w:rFonts w:asciiTheme="majorHAnsi" w:hAnsiTheme="majorHAnsi" w:cstheme="majorHAnsi"/>
        <w:b/>
        <w:bCs/>
        <w:sz w:val="20"/>
      </w:rPr>
    </w:pPr>
    <w:r w:rsidRPr="00A70275">
      <w:rPr>
        <w:rFonts w:asciiTheme="majorHAnsi" w:hAnsiTheme="majorHAnsi" w:cstheme="majorHAnsi"/>
        <w:b/>
        <w:bCs/>
        <w:sz w:val="20"/>
      </w:rPr>
      <w:t>ASSEMBL</w:t>
    </w:r>
    <w:r w:rsidR="00A70275">
      <w:rPr>
        <w:rFonts w:asciiTheme="majorHAnsi" w:hAnsiTheme="majorHAnsi" w:cstheme="majorHAnsi"/>
        <w:b/>
        <w:bCs/>
        <w:sz w:val="20"/>
      </w:rPr>
      <w:t>E</w:t>
    </w:r>
    <w:r w:rsidRPr="00A70275">
      <w:rPr>
        <w:rFonts w:asciiTheme="majorHAnsi" w:hAnsiTheme="majorHAnsi" w:cstheme="majorHAnsi"/>
        <w:b/>
        <w:bCs/>
        <w:sz w:val="20"/>
      </w:rPr>
      <w:t>IA LEGISLATIVA DO MARANHÃO</w:t>
    </w:r>
  </w:p>
  <w:p w14:paraId="2B500074" w14:textId="77777777" w:rsidR="003F4C50" w:rsidRPr="00A70275" w:rsidRDefault="003F4C50" w:rsidP="00A70275">
    <w:pPr>
      <w:pStyle w:val="Cabealho"/>
      <w:tabs>
        <w:tab w:val="clear" w:pos="4252"/>
        <w:tab w:val="clear" w:pos="8504"/>
      </w:tabs>
      <w:ind w:right="-1"/>
      <w:jc w:val="center"/>
      <w:rPr>
        <w:rFonts w:asciiTheme="majorHAnsi" w:hAnsiTheme="majorHAnsi" w:cstheme="majorHAnsi"/>
        <w:bCs/>
        <w:sz w:val="20"/>
      </w:rPr>
    </w:pPr>
    <w:r w:rsidRPr="00A70275">
      <w:rPr>
        <w:rFonts w:asciiTheme="majorHAnsi" w:hAnsiTheme="majorHAnsi" w:cstheme="majorHAnsi"/>
        <w:bCs/>
        <w:sz w:val="20"/>
      </w:rPr>
      <w:t>INSTALADA EM 16 DE FEVEREIRO DE 1835</w:t>
    </w:r>
  </w:p>
  <w:p w14:paraId="372E2DBE" w14:textId="77777777" w:rsidR="003F4C50" w:rsidRPr="00A70275" w:rsidRDefault="003F4C50" w:rsidP="00A70275">
    <w:pPr>
      <w:pStyle w:val="Cabealho"/>
      <w:tabs>
        <w:tab w:val="clear" w:pos="4252"/>
        <w:tab w:val="clear" w:pos="8504"/>
      </w:tabs>
      <w:ind w:right="-1"/>
      <w:jc w:val="center"/>
      <w:rPr>
        <w:rFonts w:asciiTheme="majorHAnsi" w:hAnsiTheme="majorHAnsi" w:cstheme="majorHAnsi"/>
        <w:sz w:val="20"/>
      </w:rPr>
    </w:pPr>
    <w:r w:rsidRPr="00A70275">
      <w:rPr>
        <w:rFonts w:asciiTheme="majorHAnsi" w:hAnsiTheme="majorHAnsi" w:cstheme="majorHAnsi"/>
        <w:sz w:val="20"/>
      </w:rPr>
      <w:t>DIRETORIA LEGISLATIVA</w:t>
    </w:r>
  </w:p>
  <w:p w14:paraId="1DF09A16" w14:textId="77777777" w:rsidR="003F4C50" w:rsidRPr="00A70275" w:rsidRDefault="003F4C50" w:rsidP="00A70275">
    <w:pPr>
      <w:pStyle w:val="Cabealho"/>
      <w:ind w:right="-1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C1C"/>
    <w:multiLevelType w:val="hybridMultilevel"/>
    <w:tmpl w:val="8CA41B66"/>
    <w:lvl w:ilvl="0" w:tplc="E01C2832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92F137D"/>
    <w:multiLevelType w:val="hybridMultilevel"/>
    <w:tmpl w:val="AD0A0D60"/>
    <w:lvl w:ilvl="0" w:tplc="78A4AD2A">
      <w:start w:val="1"/>
      <w:numFmt w:val="upperRoman"/>
      <w:lvlText w:val="%1-"/>
      <w:lvlJc w:val="left"/>
      <w:pPr>
        <w:ind w:left="14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12009F2">
      <w:start w:val="1"/>
      <w:numFmt w:val="lowerLetter"/>
      <w:lvlText w:val="%2)"/>
      <w:lvlJc w:val="left"/>
      <w:pPr>
        <w:ind w:left="14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FEF6D286">
      <w:numFmt w:val="bullet"/>
      <w:lvlText w:val="•"/>
      <w:lvlJc w:val="left"/>
      <w:pPr>
        <w:ind w:left="1869" w:hanging="272"/>
      </w:pPr>
      <w:rPr>
        <w:rFonts w:hint="default"/>
        <w:lang w:val="pt-PT" w:eastAsia="en-US" w:bidi="ar-SA"/>
      </w:rPr>
    </w:lvl>
    <w:lvl w:ilvl="3" w:tplc="D75C9C60">
      <w:numFmt w:val="bullet"/>
      <w:lvlText w:val="•"/>
      <w:lvlJc w:val="left"/>
      <w:pPr>
        <w:ind w:left="2733" w:hanging="272"/>
      </w:pPr>
      <w:rPr>
        <w:rFonts w:hint="default"/>
        <w:lang w:val="pt-PT" w:eastAsia="en-US" w:bidi="ar-SA"/>
      </w:rPr>
    </w:lvl>
    <w:lvl w:ilvl="4" w:tplc="7F40494A">
      <w:numFmt w:val="bullet"/>
      <w:lvlText w:val="•"/>
      <w:lvlJc w:val="left"/>
      <w:pPr>
        <w:ind w:left="3598" w:hanging="272"/>
      </w:pPr>
      <w:rPr>
        <w:rFonts w:hint="default"/>
        <w:lang w:val="pt-PT" w:eastAsia="en-US" w:bidi="ar-SA"/>
      </w:rPr>
    </w:lvl>
    <w:lvl w:ilvl="5" w:tplc="1808421A">
      <w:numFmt w:val="bullet"/>
      <w:lvlText w:val="•"/>
      <w:lvlJc w:val="left"/>
      <w:pPr>
        <w:ind w:left="4463" w:hanging="272"/>
      </w:pPr>
      <w:rPr>
        <w:rFonts w:hint="default"/>
        <w:lang w:val="pt-PT" w:eastAsia="en-US" w:bidi="ar-SA"/>
      </w:rPr>
    </w:lvl>
    <w:lvl w:ilvl="6" w:tplc="5652F4B4">
      <w:numFmt w:val="bullet"/>
      <w:lvlText w:val="•"/>
      <w:lvlJc w:val="left"/>
      <w:pPr>
        <w:ind w:left="5327" w:hanging="272"/>
      </w:pPr>
      <w:rPr>
        <w:rFonts w:hint="default"/>
        <w:lang w:val="pt-PT" w:eastAsia="en-US" w:bidi="ar-SA"/>
      </w:rPr>
    </w:lvl>
    <w:lvl w:ilvl="7" w:tplc="2BEA192C">
      <w:numFmt w:val="bullet"/>
      <w:lvlText w:val="•"/>
      <w:lvlJc w:val="left"/>
      <w:pPr>
        <w:ind w:left="6192" w:hanging="272"/>
      </w:pPr>
      <w:rPr>
        <w:rFonts w:hint="default"/>
        <w:lang w:val="pt-PT" w:eastAsia="en-US" w:bidi="ar-SA"/>
      </w:rPr>
    </w:lvl>
    <w:lvl w:ilvl="8" w:tplc="01BCC49C">
      <w:numFmt w:val="bullet"/>
      <w:lvlText w:val="•"/>
      <w:lvlJc w:val="left"/>
      <w:pPr>
        <w:ind w:left="7057" w:hanging="272"/>
      </w:pPr>
      <w:rPr>
        <w:rFonts w:hint="default"/>
        <w:lang w:val="pt-PT" w:eastAsia="en-US" w:bidi="ar-SA"/>
      </w:rPr>
    </w:lvl>
  </w:abstractNum>
  <w:abstractNum w:abstractNumId="3" w15:restartNumberingAfterBreak="0">
    <w:nsid w:val="16C41A3F"/>
    <w:multiLevelType w:val="hybridMultilevel"/>
    <w:tmpl w:val="1A72DF2E"/>
    <w:lvl w:ilvl="0" w:tplc="80746182">
      <w:start w:val="1"/>
      <w:numFmt w:val="upperRoman"/>
      <w:lvlText w:val="%1"/>
      <w:lvlJc w:val="left"/>
      <w:pPr>
        <w:ind w:left="142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8608D08">
      <w:numFmt w:val="bullet"/>
      <w:lvlText w:val="•"/>
      <w:lvlJc w:val="left"/>
      <w:pPr>
        <w:ind w:left="1004" w:hanging="154"/>
      </w:pPr>
      <w:rPr>
        <w:rFonts w:hint="default"/>
        <w:lang w:val="pt-PT" w:eastAsia="en-US" w:bidi="ar-SA"/>
      </w:rPr>
    </w:lvl>
    <w:lvl w:ilvl="2" w:tplc="F4DC33AE">
      <w:numFmt w:val="bullet"/>
      <w:lvlText w:val="•"/>
      <w:lvlJc w:val="left"/>
      <w:pPr>
        <w:ind w:left="1869" w:hanging="154"/>
      </w:pPr>
      <w:rPr>
        <w:rFonts w:hint="default"/>
        <w:lang w:val="pt-PT" w:eastAsia="en-US" w:bidi="ar-SA"/>
      </w:rPr>
    </w:lvl>
    <w:lvl w:ilvl="3" w:tplc="2584A8F8">
      <w:numFmt w:val="bullet"/>
      <w:lvlText w:val="•"/>
      <w:lvlJc w:val="left"/>
      <w:pPr>
        <w:ind w:left="2733" w:hanging="154"/>
      </w:pPr>
      <w:rPr>
        <w:rFonts w:hint="default"/>
        <w:lang w:val="pt-PT" w:eastAsia="en-US" w:bidi="ar-SA"/>
      </w:rPr>
    </w:lvl>
    <w:lvl w:ilvl="4" w:tplc="BCF8FB04">
      <w:numFmt w:val="bullet"/>
      <w:lvlText w:val="•"/>
      <w:lvlJc w:val="left"/>
      <w:pPr>
        <w:ind w:left="3598" w:hanging="154"/>
      </w:pPr>
      <w:rPr>
        <w:rFonts w:hint="default"/>
        <w:lang w:val="pt-PT" w:eastAsia="en-US" w:bidi="ar-SA"/>
      </w:rPr>
    </w:lvl>
    <w:lvl w:ilvl="5" w:tplc="6366A836">
      <w:numFmt w:val="bullet"/>
      <w:lvlText w:val="•"/>
      <w:lvlJc w:val="left"/>
      <w:pPr>
        <w:ind w:left="4463" w:hanging="154"/>
      </w:pPr>
      <w:rPr>
        <w:rFonts w:hint="default"/>
        <w:lang w:val="pt-PT" w:eastAsia="en-US" w:bidi="ar-SA"/>
      </w:rPr>
    </w:lvl>
    <w:lvl w:ilvl="6" w:tplc="BC7A31EE">
      <w:numFmt w:val="bullet"/>
      <w:lvlText w:val="•"/>
      <w:lvlJc w:val="left"/>
      <w:pPr>
        <w:ind w:left="5327" w:hanging="154"/>
      </w:pPr>
      <w:rPr>
        <w:rFonts w:hint="default"/>
        <w:lang w:val="pt-PT" w:eastAsia="en-US" w:bidi="ar-SA"/>
      </w:rPr>
    </w:lvl>
    <w:lvl w:ilvl="7" w:tplc="CBB45F7A">
      <w:numFmt w:val="bullet"/>
      <w:lvlText w:val="•"/>
      <w:lvlJc w:val="left"/>
      <w:pPr>
        <w:ind w:left="6192" w:hanging="154"/>
      </w:pPr>
      <w:rPr>
        <w:rFonts w:hint="default"/>
        <w:lang w:val="pt-PT" w:eastAsia="en-US" w:bidi="ar-SA"/>
      </w:rPr>
    </w:lvl>
    <w:lvl w:ilvl="8" w:tplc="5274846E">
      <w:numFmt w:val="bullet"/>
      <w:lvlText w:val="•"/>
      <w:lvlJc w:val="left"/>
      <w:pPr>
        <w:ind w:left="7057" w:hanging="154"/>
      </w:pPr>
      <w:rPr>
        <w:rFonts w:hint="default"/>
        <w:lang w:val="pt-PT" w:eastAsia="en-US" w:bidi="ar-SA"/>
      </w:rPr>
    </w:lvl>
  </w:abstractNum>
  <w:abstractNum w:abstractNumId="4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3200">
    <w:abstractNumId w:val="1"/>
  </w:num>
  <w:num w:numId="2" w16cid:durableId="336616504">
    <w:abstractNumId w:val="0"/>
  </w:num>
  <w:num w:numId="3" w16cid:durableId="674502332">
    <w:abstractNumId w:val="4"/>
  </w:num>
  <w:num w:numId="4" w16cid:durableId="1969699321">
    <w:abstractNumId w:val="5"/>
  </w:num>
  <w:num w:numId="5" w16cid:durableId="1301765367">
    <w:abstractNumId w:val="3"/>
  </w:num>
  <w:num w:numId="6" w16cid:durableId="1601597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B"/>
    <w:rsid w:val="000127C6"/>
    <w:rsid w:val="00015E6D"/>
    <w:rsid w:val="000243EA"/>
    <w:rsid w:val="00024FBB"/>
    <w:rsid w:val="00025DAC"/>
    <w:rsid w:val="000400D9"/>
    <w:rsid w:val="0004726E"/>
    <w:rsid w:val="00063E56"/>
    <w:rsid w:val="0006411B"/>
    <w:rsid w:val="00076590"/>
    <w:rsid w:val="00076BF9"/>
    <w:rsid w:val="000826F3"/>
    <w:rsid w:val="00084889"/>
    <w:rsid w:val="000879FB"/>
    <w:rsid w:val="000919B0"/>
    <w:rsid w:val="000A24FC"/>
    <w:rsid w:val="000A2A6B"/>
    <w:rsid w:val="000A330C"/>
    <w:rsid w:val="000A573D"/>
    <w:rsid w:val="000B0A13"/>
    <w:rsid w:val="000B1318"/>
    <w:rsid w:val="000B1DB3"/>
    <w:rsid w:val="000C08A0"/>
    <w:rsid w:val="000C1553"/>
    <w:rsid w:val="000C7116"/>
    <w:rsid w:val="000D7CD8"/>
    <w:rsid w:val="000E1A78"/>
    <w:rsid w:val="000F6CE6"/>
    <w:rsid w:val="0010136E"/>
    <w:rsid w:val="00102D40"/>
    <w:rsid w:val="00111082"/>
    <w:rsid w:val="00112149"/>
    <w:rsid w:val="0012102E"/>
    <w:rsid w:val="00131157"/>
    <w:rsid w:val="00131428"/>
    <w:rsid w:val="001429D3"/>
    <w:rsid w:val="00151F23"/>
    <w:rsid w:val="0015426B"/>
    <w:rsid w:val="001646E2"/>
    <w:rsid w:val="00164E41"/>
    <w:rsid w:val="0017101F"/>
    <w:rsid w:val="0017255F"/>
    <w:rsid w:val="00172E0F"/>
    <w:rsid w:val="00175F4E"/>
    <w:rsid w:val="00177747"/>
    <w:rsid w:val="0018136A"/>
    <w:rsid w:val="001A0389"/>
    <w:rsid w:val="001A1259"/>
    <w:rsid w:val="001A529D"/>
    <w:rsid w:val="001A7A2A"/>
    <w:rsid w:val="001B041D"/>
    <w:rsid w:val="001D4361"/>
    <w:rsid w:val="001D4FA7"/>
    <w:rsid w:val="001E30C6"/>
    <w:rsid w:val="001E4B37"/>
    <w:rsid w:val="001E4C35"/>
    <w:rsid w:val="001F24B3"/>
    <w:rsid w:val="001F2646"/>
    <w:rsid w:val="002022F6"/>
    <w:rsid w:val="00211DB6"/>
    <w:rsid w:val="002149F7"/>
    <w:rsid w:val="00215F6B"/>
    <w:rsid w:val="00220820"/>
    <w:rsid w:val="00225648"/>
    <w:rsid w:val="00230125"/>
    <w:rsid w:val="00230478"/>
    <w:rsid w:val="0023269A"/>
    <w:rsid w:val="0023285C"/>
    <w:rsid w:val="0023466A"/>
    <w:rsid w:val="0024679C"/>
    <w:rsid w:val="0025272F"/>
    <w:rsid w:val="00252933"/>
    <w:rsid w:val="002535D5"/>
    <w:rsid w:val="00253E44"/>
    <w:rsid w:val="002557E6"/>
    <w:rsid w:val="002602C7"/>
    <w:rsid w:val="0026335B"/>
    <w:rsid w:val="00265B3F"/>
    <w:rsid w:val="00270854"/>
    <w:rsid w:val="00270971"/>
    <w:rsid w:val="00273C47"/>
    <w:rsid w:val="00280821"/>
    <w:rsid w:val="00283A24"/>
    <w:rsid w:val="00295F83"/>
    <w:rsid w:val="002A14A2"/>
    <w:rsid w:val="002B1759"/>
    <w:rsid w:val="002B20A8"/>
    <w:rsid w:val="002B597C"/>
    <w:rsid w:val="002C7482"/>
    <w:rsid w:val="002D661F"/>
    <w:rsid w:val="002D760C"/>
    <w:rsid w:val="002E2242"/>
    <w:rsid w:val="002E42C8"/>
    <w:rsid w:val="00301B79"/>
    <w:rsid w:val="003024EA"/>
    <w:rsid w:val="00306F76"/>
    <w:rsid w:val="00315412"/>
    <w:rsid w:val="003158AB"/>
    <w:rsid w:val="00322BB1"/>
    <w:rsid w:val="00327612"/>
    <w:rsid w:val="0033668C"/>
    <w:rsid w:val="00336E85"/>
    <w:rsid w:val="00341FBA"/>
    <w:rsid w:val="003455CC"/>
    <w:rsid w:val="00346690"/>
    <w:rsid w:val="003537B6"/>
    <w:rsid w:val="00356054"/>
    <w:rsid w:val="00363C5C"/>
    <w:rsid w:val="00364E10"/>
    <w:rsid w:val="00373990"/>
    <w:rsid w:val="00386444"/>
    <w:rsid w:val="00386B42"/>
    <w:rsid w:val="003925E9"/>
    <w:rsid w:val="00394CCB"/>
    <w:rsid w:val="00396480"/>
    <w:rsid w:val="003B02D6"/>
    <w:rsid w:val="003B045F"/>
    <w:rsid w:val="003C0127"/>
    <w:rsid w:val="003C6A10"/>
    <w:rsid w:val="003D68D7"/>
    <w:rsid w:val="003E406C"/>
    <w:rsid w:val="003E701F"/>
    <w:rsid w:val="003F3302"/>
    <w:rsid w:val="003F39B7"/>
    <w:rsid w:val="003F40A1"/>
    <w:rsid w:val="003F4C50"/>
    <w:rsid w:val="003F7453"/>
    <w:rsid w:val="00405696"/>
    <w:rsid w:val="00405853"/>
    <w:rsid w:val="00413258"/>
    <w:rsid w:val="00414113"/>
    <w:rsid w:val="004172EE"/>
    <w:rsid w:val="00427550"/>
    <w:rsid w:val="0042768D"/>
    <w:rsid w:val="004324C6"/>
    <w:rsid w:val="004351CD"/>
    <w:rsid w:val="00446C97"/>
    <w:rsid w:val="004470D1"/>
    <w:rsid w:val="00450454"/>
    <w:rsid w:val="00460787"/>
    <w:rsid w:val="00460F08"/>
    <w:rsid w:val="004617B4"/>
    <w:rsid w:val="00462230"/>
    <w:rsid w:val="00473548"/>
    <w:rsid w:val="00480C42"/>
    <w:rsid w:val="00481715"/>
    <w:rsid w:val="004846B9"/>
    <w:rsid w:val="00486893"/>
    <w:rsid w:val="004869A8"/>
    <w:rsid w:val="0049328B"/>
    <w:rsid w:val="0049478D"/>
    <w:rsid w:val="00494A8D"/>
    <w:rsid w:val="004A1702"/>
    <w:rsid w:val="004B1C52"/>
    <w:rsid w:val="004C7D9E"/>
    <w:rsid w:val="004D1FD6"/>
    <w:rsid w:val="004D4D36"/>
    <w:rsid w:val="004E4BA7"/>
    <w:rsid w:val="004E4E02"/>
    <w:rsid w:val="004F09A7"/>
    <w:rsid w:val="004F1779"/>
    <w:rsid w:val="004F3CFC"/>
    <w:rsid w:val="004F5793"/>
    <w:rsid w:val="0050107D"/>
    <w:rsid w:val="00502241"/>
    <w:rsid w:val="00503A7C"/>
    <w:rsid w:val="00513CF1"/>
    <w:rsid w:val="005143DF"/>
    <w:rsid w:val="0051636E"/>
    <w:rsid w:val="0051753D"/>
    <w:rsid w:val="00520B62"/>
    <w:rsid w:val="005303E0"/>
    <w:rsid w:val="005320A5"/>
    <w:rsid w:val="00534FDB"/>
    <w:rsid w:val="005474FA"/>
    <w:rsid w:val="005546C7"/>
    <w:rsid w:val="005554A6"/>
    <w:rsid w:val="00555A8A"/>
    <w:rsid w:val="00562C71"/>
    <w:rsid w:val="005750FF"/>
    <w:rsid w:val="00575B15"/>
    <w:rsid w:val="00575FA7"/>
    <w:rsid w:val="005860C8"/>
    <w:rsid w:val="00593C00"/>
    <w:rsid w:val="005A6B80"/>
    <w:rsid w:val="005A7865"/>
    <w:rsid w:val="005B15A7"/>
    <w:rsid w:val="005B3C02"/>
    <w:rsid w:val="005B613B"/>
    <w:rsid w:val="005C30C6"/>
    <w:rsid w:val="005D1EC1"/>
    <w:rsid w:val="005D3919"/>
    <w:rsid w:val="005D4D02"/>
    <w:rsid w:val="005E3B9B"/>
    <w:rsid w:val="005E6344"/>
    <w:rsid w:val="005F369E"/>
    <w:rsid w:val="005F533E"/>
    <w:rsid w:val="005F6711"/>
    <w:rsid w:val="00603803"/>
    <w:rsid w:val="006053DF"/>
    <w:rsid w:val="0060559B"/>
    <w:rsid w:val="00622FCC"/>
    <w:rsid w:val="0062616D"/>
    <w:rsid w:val="00626394"/>
    <w:rsid w:val="006340E1"/>
    <w:rsid w:val="006362E4"/>
    <w:rsid w:val="00641B2D"/>
    <w:rsid w:val="00652B16"/>
    <w:rsid w:val="00655661"/>
    <w:rsid w:val="00656716"/>
    <w:rsid w:val="006608EA"/>
    <w:rsid w:val="00663C82"/>
    <w:rsid w:val="006674C8"/>
    <w:rsid w:val="006721E7"/>
    <w:rsid w:val="006757E5"/>
    <w:rsid w:val="006804EE"/>
    <w:rsid w:val="00682A44"/>
    <w:rsid w:val="00684FE8"/>
    <w:rsid w:val="006954F4"/>
    <w:rsid w:val="006A17E4"/>
    <w:rsid w:val="006D1FE0"/>
    <w:rsid w:val="006D2051"/>
    <w:rsid w:val="006D2119"/>
    <w:rsid w:val="006D31E6"/>
    <w:rsid w:val="006E72B3"/>
    <w:rsid w:val="006F4AB3"/>
    <w:rsid w:val="00711188"/>
    <w:rsid w:val="00717576"/>
    <w:rsid w:val="00732E91"/>
    <w:rsid w:val="0074114D"/>
    <w:rsid w:val="007433EA"/>
    <w:rsid w:val="00744DF4"/>
    <w:rsid w:val="00745953"/>
    <w:rsid w:val="00752349"/>
    <w:rsid w:val="007571DB"/>
    <w:rsid w:val="0076420D"/>
    <w:rsid w:val="007708C6"/>
    <w:rsid w:val="0077474E"/>
    <w:rsid w:val="00775489"/>
    <w:rsid w:val="007A2BDF"/>
    <w:rsid w:val="007A7703"/>
    <w:rsid w:val="007B0CF9"/>
    <w:rsid w:val="007B2843"/>
    <w:rsid w:val="007B34FA"/>
    <w:rsid w:val="007C05A1"/>
    <w:rsid w:val="007C74DE"/>
    <w:rsid w:val="007D0F1E"/>
    <w:rsid w:val="007D2B80"/>
    <w:rsid w:val="007F159B"/>
    <w:rsid w:val="007F3FC1"/>
    <w:rsid w:val="00806BCF"/>
    <w:rsid w:val="00810BB5"/>
    <w:rsid w:val="00815758"/>
    <w:rsid w:val="00815FED"/>
    <w:rsid w:val="00820787"/>
    <w:rsid w:val="008260C6"/>
    <w:rsid w:val="00830DAE"/>
    <w:rsid w:val="00843A09"/>
    <w:rsid w:val="008502C9"/>
    <w:rsid w:val="008567DA"/>
    <w:rsid w:val="00880CAD"/>
    <w:rsid w:val="0088507E"/>
    <w:rsid w:val="00893A9B"/>
    <w:rsid w:val="008956B6"/>
    <w:rsid w:val="008A2938"/>
    <w:rsid w:val="008A7DBF"/>
    <w:rsid w:val="008B0177"/>
    <w:rsid w:val="008C387A"/>
    <w:rsid w:val="008D18A8"/>
    <w:rsid w:val="008D1BDA"/>
    <w:rsid w:val="008D6832"/>
    <w:rsid w:val="008F0247"/>
    <w:rsid w:val="008F4386"/>
    <w:rsid w:val="009021DA"/>
    <w:rsid w:val="009022A6"/>
    <w:rsid w:val="00902EAC"/>
    <w:rsid w:val="0091197B"/>
    <w:rsid w:val="00921C54"/>
    <w:rsid w:val="00921FFB"/>
    <w:rsid w:val="00922EF9"/>
    <w:rsid w:val="00935859"/>
    <w:rsid w:val="00941397"/>
    <w:rsid w:val="00943CD1"/>
    <w:rsid w:val="00945081"/>
    <w:rsid w:val="0095608F"/>
    <w:rsid w:val="00964924"/>
    <w:rsid w:val="009659A4"/>
    <w:rsid w:val="00966E54"/>
    <w:rsid w:val="00970DB0"/>
    <w:rsid w:val="00984429"/>
    <w:rsid w:val="0098745C"/>
    <w:rsid w:val="00996AE1"/>
    <w:rsid w:val="009B0175"/>
    <w:rsid w:val="009C2481"/>
    <w:rsid w:val="009C437B"/>
    <w:rsid w:val="009C64C4"/>
    <w:rsid w:val="009D0021"/>
    <w:rsid w:val="009D2DBF"/>
    <w:rsid w:val="009D3D83"/>
    <w:rsid w:val="009D4B82"/>
    <w:rsid w:val="009D5EB4"/>
    <w:rsid w:val="009E5054"/>
    <w:rsid w:val="009E583F"/>
    <w:rsid w:val="00A06644"/>
    <w:rsid w:val="00A16BFE"/>
    <w:rsid w:val="00A20E4B"/>
    <w:rsid w:val="00A24CA4"/>
    <w:rsid w:val="00A24F77"/>
    <w:rsid w:val="00A26EFE"/>
    <w:rsid w:val="00A302C9"/>
    <w:rsid w:val="00A30B37"/>
    <w:rsid w:val="00A33600"/>
    <w:rsid w:val="00A34EE2"/>
    <w:rsid w:val="00A36098"/>
    <w:rsid w:val="00A36C57"/>
    <w:rsid w:val="00A37052"/>
    <w:rsid w:val="00A41490"/>
    <w:rsid w:val="00A443A8"/>
    <w:rsid w:val="00A465EC"/>
    <w:rsid w:val="00A4754C"/>
    <w:rsid w:val="00A53BB5"/>
    <w:rsid w:val="00A5410F"/>
    <w:rsid w:val="00A612E2"/>
    <w:rsid w:val="00A62A5B"/>
    <w:rsid w:val="00A70275"/>
    <w:rsid w:val="00A75CBB"/>
    <w:rsid w:val="00A768C3"/>
    <w:rsid w:val="00A77F43"/>
    <w:rsid w:val="00A8172A"/>
    <w:rsid w:val="00A83BC1"/>
    <w:rsid w:val="00A84225"/>
    <w:rsid w:val="00A85850"/>
    <w:rsid w:val="00A94431"/>
    <w:rsid w:val="00A97BC6"/>
    <w:rsid w:val="00AB15CD"/>
    <w:rsid w:val="00AB2DBF"/>
    <w:rsid w:val="00AB3CC1"/>
    <w:rsid w:val="00AB78BC"/>
    <w:rsid w:val="00AC0568"/>
    <w:rsid w:val="00AC1F96"/>
    <w:rsid w:val="00AD5DA0"/>
    <w:rsid w:val="00AD74D5"/>
    <w:rsid w:val="00AE4795"/>
    <w:rsid w:val="00AE5997"/>
    <w:rsid w:val="00AE6277"/>
    <w:rsid w:val="00AE7D63"/>
    <w:rsid w:val="00AF4031"/>
    <w:rsid w:val="00B00069"/>
    <w:rsid w:val="00B23BF2"/>
    <w:rsid w:val="00B240F8"/>
    <w:rsid w:val="00B30FFD"/>
    <w:rsid w:val="00B32993"/>
    <w:rsid w:val="00B3404A"/>
    <w:rsid w:val="00B34B47"/>
    <w:rsid w:val="00B3686E"/>
    <w:rsid w:val="00B42DE6"/>
    <w:rsid w:val="00B4452A"/>
    <w:rsid w:val="00B4478A"/>
    <w:rsid w:val="00B548C6"/>
    <w:rsid w:val="00B62651"/>
    <w:rsid w:val="00B64DBD"/>
    <w:rsid w:val="00B66FC1"/>
    <w:rsid w:val="00B701EB"/>
    <w:rsid w:val="00B8367E"/>
    <w:rsid w:val="00B83DCE"/>
    <w:rsid w:val="00B94C66"/>
    <w:rsid w:val="00BA44DE"/>
    <w:rsid w:val="00BA530B"/>
    <w:rsid w:val="00BB2C17"/>
    <w:rsid w:val="00BB6F93"/>
    <w:rsid w:val="00BC35B6"/>
    <w:rsid w:val="00BC469B"/>
    <w:rsid w:val="00BD110E"/>
    <w:rsid w:val="00BD4BB6"/>
    <w:rsid w:val="00BE0C73"/>
    <w:rsid w:val="00BE1643"/>
    <w:rsid w:val="00BE4E91"/>
    <w:rsid w:val="00BF11EC"/>
    <w:rsid w:val="00C00006"/>
    <w:rsid w:val="00C000F7"/>
    <w:rsid w:val="00C11274"/>
    <w:rsid w:val="00C1207B"/>
    <w:rsid w:val="00C1544E"/>
    <w:rsid w:val="00C154C6"/>
    <w:rsid w:val="00C16B16"/>
    <w:rsid w:val="00C16E0B"/>
    <w:rsid w:val="00C20E58"/>
    <w:rsid w:val="00C240CA"/>
    <w:rsid w:val="00C4522A"/>
    <w:rsid w:val="00C50A9A"/>
    <w:rsid w:val="00C53362"/>
    <w:rsid w:val="00C53DF3"/>
    <w:rsid w:val="00C609D1"/>
    <w:rsid w:val="00C64F60"/>
    <w:rsid w:val="00C65672"/>
    <w:rsid w:val="00C65C18"/>
    <w:rsid w:val="00C70F72"/>
    <w:rsid w:val="00C7115F"/>
    <w:rsid w:val="00C81BB7"/>
    <w:rsid w:val="00C94149"/>
    <w:rsid w:val="00CA24E4"/>
    <w:rsid w:val="00CA253B"/>
    <w:rsid w:val="00CB2363"/>
    <w:rsid w:val="00CC2676"/>
    <w:rsid w:val="00CD27EA"/>
    <w:rsid w:val="00CE366E"/>
    <w:rsid w:val="00CE56A1"/>
    <w:rsid w:val="00CE6D19"/>
    <w:rsid w:val="00CF31F2"/>
    <w:rsid w:val="00CF3E0C"/>
    <w:rsid w:val="00CF6334"/>
    <w:rsid w:val="00D04D54"/>
    <w:rsid w:val="00D05E9D"/>
    <w:rsid w:val="00D15D7C"/>
    <w:rsid w:val="00D30072"/>
    <w:rsid w:val="00D32A6C"/>
    <w:rsid w:val="00D33192"/>
    <w:rsid w:val="00D33525"/>
    <w:rsid w:val="00D3466D"/>
    <w:rsid w:val="00D36956"/>
    <w:rsid w:val="00D4760A"/>
    <w:rsid w:val="00D54126"/>
    <w:rsid w:val="00D70668"/>
    <w:rsid w:val="00D866A5"/>
    <w:rsid w:val="00DA0929"/>
    <w:rsid w:val="00DA5338"/>
    <w:rsid w:val="00DA565F"/>
    <w:rsid w:val="00DA728F"/>
    <w:rsid w:val="00DA79FF"/>
    <w:rsid w:val="00DC3079"/>
    <w:rsid w:val="00DC4A96"/>
    <w:rsid w:val="00DC762F"/>
    <w:rsid w:val="00DD6A8A"/>
    <w:rsid w:val="00DE1D89"/>
    <w:rsid w:val="00DF701B"/>
    <w:rsid w:val="00E00BBD"/>
    <w:rsid w:val="00E166D8"/>
    <w:rsid w:val="00E2675E"/>
    <w:rsid w:val="00E27B28"/>
    <w:rsid w:val="00E3381E"/>
    <w:rsid w:val="00E45E98"/>
    <w:rsid w:val="00E529F4"/>
    <w:rsid w:val="00E536D2"/>
    <w:rsid w:val="00E54B79"/>
    <w:rsid w:val="00E55208"/>
    <w:rsid w:val="00E5767E"/>
    <w:rsid w:val="00E60015"/>
    <w:rsid w:val="00E6394F"/>
    <w:rsid w:val="00E6550E"/>
    <w:rsid w:val="00E67B48"/>
    <w:rsid w:val="00E72E75"/>
    <w:rsid w:val="00E73B63"/>
    <w:rsid w:val="00E84101"/>
    <w:rsid w:val="00E93776"/>
    <w:rsid w:val="00E96E6A"/>
    <w:rsid w:val="00EA09A9"/>
    <w:rsid w:val="00EA2DC4"/>
    <w:rsid w:val="00EA4DCA"/>
    <w:rsid w:val="00EB4333"/>
    <w:rsid w:val="00EB74F6"/>
    <w:rsid w:val="00EC7430"/>
    <w:rsid w:val="00ED4DD6"/>
    <w:rsid w:val="00EF1746"/>
    <w:rsid w:val="00EF7B3D"/>
    <w:rsid w:val="00F00161"/>
    <w:rsid w:val="00F0113A"/>
    <w:rsid w:val="00F25F15"/>
    <w:rsid w:val="00F26249"/>
    <w:rsid w:val="00F3176C"/>
    <w:rsid w:val="00F3421D"/>
    <w:rsid w:val="00F4127D"/>
    <w:rsid w:val="00F4191F"/>
    <w:rsid w:val="00F42685"/>
    <w:rsid w:val="00F52136"/>
    <w:rsid w:val="00F53463"/>
    <w:rsid w:val="00F65098"/>
    <w:rsid w:val="00F723FA"/>
    <w:rsid w:val="00F72CF9"/>
    <w:rsid w:val="00F74159"/>
    <w:rsid w:val="00F82593"/>
    <w:rsid w:val="00F858C7"/>
    <w:rsid w:val="00F91BB6"/>
    <w:rsid w:val="00FB6748"/>
    <w:rsid w:val="00FC0560"/>
    <w:rsid w:val="00FC68ED"/>
    <w:rsid w:val="00FC6DD6"/>
    <w:rsid w:val="00FC6E2D"/>
    <w:rsid w:val="00FD151D"/>
    <w:rsid w:val="00FD3CAA"/>
    <w:rsid w:val="00FD6C47"/>
    <w:rsid w:val="00FE14B2"/>
    <w:rsid w:val="00FE45E6"/>
    <w:rsid w:val="00FE7C44"/>
    <w:rsid w:val="00FF0FAE"/>
    <w:rsid w:val="00FF297A"/>
    <w:rsid w:val="00FF3E58"/>
    <w:rsid w:val="0985D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A859D"/>
  <w15:chartTrackingRefBased/>
  <w15:docId w15:val="{5864993E-9BFE-4001-A55D-23B0C06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4B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left="2342"/>
      <w:jc w:val="both"/>
    </w:pPr>
    <w:rPr>
      <w:rFonts w:ascii="Courier New" w:hAnsi="Courier New" w:cs="Courier New"/>
    </w:rPr>
  </w:style>
  <w:style w:type="paragraph" w:styleId="Recuodecorpodetexto2">
    <w:name w:val="Body Text Indent 2"/>
    <w:basedOn w:val="Normal"/>
    <w:pPr>
      <w:spacing w:line="360" w:lineRule="auto"/>
      <w:ind w:firstLine="2340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rsid w:val="000B1318"/>
    <w:pPr>
      <w:spacing w:before="100" w:beforeAutospacing="1" w:after="100" w:afterAutospacing="1"/>
    </w:pPr>
  </w:style>
  <w:style w:type="paragraph" w:customStyle="1" w:styleId="p32">
    <w:name w:val="p32"/>
    <w:basedOn w:val="Normal"/>
    <w:rsid w:val="00ED4DD6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A41490"/>
    <w:rPr>
      <w:sz w:val="20"/>
      <w:szCs w:val="20"/>
    </w:rPr>
  </w:style>
  <w:style w:type="character" w:styleId="Refdenotaderodap">
    <w:name w:val="footnote reference"/>
    <w:uiPriority w:val="99"/>
    <w:semiHidden/>
    <w:rsid w:val="00A41490"/>
    <w:rPr>
      <w:vertAlign w:val="superscript"/>
    </w:rPr>
  </w:style>
  <w:style w:type="paragraph" w:styleId="Corpodetexto">
    <w:name w:val="Body Text"/>
    <w:basedOn w:val="Normal"/>
    <w:rsid w:val="00FE14B2"/>
    <w:pPr>
      <w:spacing w:after="120"/>
    </w:pPr>
  </w:style>
  <w:style w:type="character" w:customStyle="1" w:styleId="MquinadeescreverHTML2">
    <w:name w:val="Máquina de escrever HTML2"/>
    <w:rsid w:val="00FE14B2"/>
    <w:rPr>
      <w:rFonts w:ascii="Courier New" w:eastAsia="Times New Roman" w:hAnsi="Courier New" w:cs="Courier New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F4C50"/>
    <w:rPr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FE7C44"/>
    <w:pPr>
      <w:widowControl w:val="0"/>
      <w:spacing w:line="276" w:lineRule="auto"/>
      <w:ind w:left="1134"/>
      <w:mirrorIndents/>
      <w:jc w:val="both"/>
    </w:pPr>
    <w:rPr>
      <w:rFonts w:ascii="Arial Narrow" w:eastAsia="Calibri" w:hAnsi="Arial Narrow" w:cs="Arial"/>
      <w:i/>
      <w:color w:val="000000" w:themeColor="text1"/>
      <w:szCs w:val="22"/>
      <w:lang w:eastAsia="en-US"/>
    </w:rPr>
  </w:style>
  <w:style w:type="character" w:customStyle="1" w:styleId="texto">
    <w:name w:val="texto"/>
    <w:basedOn w:val="Fontepargpadro"/>
    <w:rsid w:val="00FE7C44"/>
  </w:style>
  <w:style w:type="paragraph" w:styleId="PargrafodaLista">
    <w:name w:val="List Paragraph"/>
    <w:basedOn w:val="Normal"/>
    <w:uiPriority w:val="1"/>
    <w:qFormat/>
    <w:rsid w:val="00B240F8"/>
    <w:pPr>
      <w:widowControl w:val="0"/>
      <w:autoSpaceDE w:val="0"/>
      <w:autoSpaceDN w:val="0"/>
      <w:ind w:left="142" w:right="141" w:firstLine="1418"/>
      <w:jc w:val="both"/>
    </w:pPr>
    <w:rPr>
      <w:sz w:val="22"/>
      <w:szCs w:val="22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6C47"/>
    <w:rPr>
      <w:lang w:eastAsia="pt-BR"/>
    </w:rPr>
  </w:style>
  <w:style w:type="paragraph" w:customStyle="1" w:styleId="STF-Citao1">
    <w:name w:val="STF-Citação1"/>
    <w:basedOn w:val="Normal"/>
    <w:uiPriority w:val="99"/>
    <w:rsid w:val="00FD6C47"/>
    <w:pPr>
      <w:widowControl w:val="0"/>
      <w:autoSpaceDE w:val="0"/>
      <w:autoSpaceDN w:val="0"/>
      <w:adjustRightInd w:val="0"/>
      <w:spacing w:line="264" w:lineRule="auto"/>
      <w:ind w:left="1701" w:firstLine="567"/>
      <w:jc w:val="both"/>
    </w:pPr>
    <w:rPr>
      <w:rFonts w:ascii="Palatino Linotype" w:eastAsiaTheme="minorEastAsia" w:cs="Palatino Linotype"/>
    </w:rPr>
  </w:style>
  <w:style w:type="paragraph" w:customStyle="1" w:styleId="Default">
    <w:name w:val="Default"/>
    <w:rsid w:val="00283A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83A24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9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9050</Characters>
  <Application>Microsoft Office Word</Application>
  <DocSecurity>0</DocSecurity>
  <Lines>75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subject/>
  <dc:creator>Silvana</dc:creator>
  <cp:keywords/>
  <dc:description/>
  <cp:lastModifiedBy>Antônio Guimarães de Freitas</cp:lastModifiedBy>
  <cp:revision>2</cp:revision>
  <cp:lastPrinted>2025-04-22T12:27:00Z</cp:lastPrinted>
  <dcterms:created xsi:type="dcterms:W3CDTF">2025-04-22T18:30:00Z</dcterms:created>
  <dcterms:modified xsi:type="dcterms:W3CDTF">2025-04-22T18:30:00Z</dcterms:modified>
</cp:coreProperties>
</file>