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54" w:rsidRDefault="00953254" w:rsidP="0083783C">
      <w:pPr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83783C" w:rsidRPr="0083783C" w:rsidRDefault="0083783C" w:rsidP="0083783C">
      <w:pPr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  <w:r w:rsidRPr="0083783C">
        <w:rPr>
          <w:rFonts w:ascii="Arial Narrow" w:eastAsia="Calibri" w:hAnsi="Arial Narrow" w:cs="Arial (W1)"/>
          <w:b/>
          <w:bCs/>
          <w:sz w:val="24"/>
          <w:szCs w:val="24"/>
        </w:rPr>
        <w:t>PROPOSTA DE EMENDA À CONSTITUIÇÃO DO ESTADO DO MARANHÃO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495940" w:rsidRDefault="00495940" w:rsidP="007424B9">
      <w:pPr>
        <w:shd w:val="clear" w:color="auto" w:fill="FFFFFF"/>
        <w:spacing w:after="0" w:line="240" w:lineRule="auto"/>
        <w:ind w:left="5103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D4913" w:rsidRPr="00495940" w:rsidRDefault="00495940" w:rsidP="009D4913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Altera o Ato </w:t>
      </w:r>
      <w:r>
        <w:rPr>
          <w:rFonts w:ascii="Arial Narrow" w:eastAsia="Calibri" w:hAnsi="Arial Narrow" w:cs="Arial (W1)"/>
          <w:bCs/>
          <w:sz w:val="24"/>
          <w:szCs w:val="24"/>
        </w:rPr>
        <w:t>das Disposições</w:t>
      </w:r>
      <w:bookmarkStart w:id="0" w:name="_GoBack"/>
      <w:bookmarkEnd w:id="0"/>
      <w:r>
        <w:rPr>
          <w:rFonts w:ascii="Arial Narrow" w:eastAsia="Calibri" w:hAnsi="Arial Narrow" w:cs="Arial (W1)"/>
          <w:bCs/>
          <w:sz w:val="24"/>
          <w:szCs w:val="24"/>
        </w:rPr>
        <w:t xml:space="preserve"> Constitucionais 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>Transitórias.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Pr="00495940" w:rsidRDefault="0049594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C82440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 w:rsidRPr="00495940">
        <w:rPr>
          <w:rFonts w:ascii="Arial Narrow" w:eastAsia="Calibri" w:hAnsi="Arial Narrow" w:cs="Arial (W1)"/>
          <w:bCs/>
          <w:sz w:val="24"/>
          <w:szCs w:val="24"/>
        </w:rPr>
        <w:t xml:space="preserve"> A Constituição do Estado do Maranhão, no Ato das Disposições Constitucionais Transitórias, é acrescida do seguinte artigo: </w:t>
      </w:r>
    </w:p>
    <w:p w:rsidR="00F569E3" w:rsidRDefault="00596B49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“Art. 66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>Fica vedado o aumento de tributo ou contribuições sem características de tributo, seja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>através de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>alteração de alíquota ou base de cálculo, enquanto perdurar o Estado de Calamidade Pública no âmbito da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 xml:space="preserve">Administração Pública Estadual em razão da pandemia de Covid-19 ou 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>e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>nquanto vigorar o Estado de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F569E3" w:rsidRPr="00F569E3">
        <w:rPr>
          <w:rFonts w:ascii="Arial Narrow" w:eastAsia="Calibri" w:hAnsi="Arial Narrow" w:cs="Arial (W1)"/>
          <w:bCs/>
          <w:sz w:val="24"/>
          <w:szCs w:val="24"/>
        </w:rPr>
        <w:t>Calamidade Financeira.</w:t>
      </w:r>
      <w:r w:rsidR="00F569E3">
        <w:rPr>
          <w:rFonts w:ascii="Arial Narrow" w:eastAsia="Calibri" w:hAnsi="Arial Narrow" w:cs="Arial (W1)"/>
          <w:bCs/>
          <w:sz w:val="24"/>
          <w:szCs w:val="24"/>
        </w:rPr>
        <w:t>”</w:t>
      </w:r>
    </w:p>
    <w:p w:rsidR="00F569E3" w:rsidRDefault="00F569E3" w:rsidP="00F569E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495940" w:rsidRDefault="00495940" w:rsidP="00F569E3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495940">
        <w:rPr>
          <w:rFonts w:ascii="Arial Narrow" w:eastAsia="Calibri" w:hAnsi="Arial Narrow" w:cs="Arial (W1)"/>
          <w:bCs/>
          <w:sz w:val="24"/>
          <w:szCs w:val="24"/>
        </w:rPr>
        <w:t>Art. 2º Esta Emenda Constitucional entra em vigor na data de sua publicação.</w:t>
      </w:r>
    </w:p>
    <w:p w:rsidR="00495940" w:rsidRPr="00F569E3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07180C" w:rsidRPr="0007180C" w:rsidRDefault="0007180C" w:rsidP="0007180C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F569E3">
        <w:rPr>
          <w:rFonts w:ascii="Arial Narrow" w:eastAsia="Calibri" w:hAnsi="Arial Narrow" w:cs="Arial (W1)"/>
          <w:bCs/>
          <w:sz w:val="23"/>
          <w:szCs w:val="23"/>
          <w:lang w:eastAsia="en-US"/>
        </w:rPr>
        <w:t>17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F569E3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065B6" w:rsidRDefault="009065B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8705D6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ADRIANO</w:t>
      </w:r>
    </w:p>
    <w:p w:rsidR="00D56535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F23061" w:rsidRDefault="00F23061" w:rsidP="009065B6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3061" w:rsidRDefault="00F23061" w:rsidP="009065B6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9065B6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07180C" w:rsidRDefault="0007180C" w:rsidP="009065B6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  <w:u w:val="single"/>
        </w:rPr>
      </w:pPr>
    </w:p>
    <w:p w:rsidR="008C6E83" w:rsidRDefault="008C6E83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976BE" w:rsidRDefault="000976BE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976BE" w:rsidRDefault="000976BE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976BE" w:rsidRDefault="000976BE" w:rsidP="00097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976BE">
        <w:rPr>
          <w:rFonts w:ascii="Arial Narrow" w:hAnsi="Arial Narrow" w:cs="Arial"/>
          <w:b/>
          <w:sz w:val="24"/>
          <w:szCs w:val="24"/>
        </w:rPr>
        <w:t>JUSTIFICATIVA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É sabido que a pandemia que afeta porção significativa do planeta impôs medidas de restrição sociais com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vistas ao sufocamento das taxas de contágio, medida necessária, porém com claros reflexos econômicos.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São vistos, nas últimas semanas que, a despeito do achatamento da curva de novas contágios, que 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população mais carente começa a sofrer de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outros males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que não unicamente sanitários.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Aliada a realidade inafastável da recessão econômica está o sistema tributário brasileiro com seu viés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extremamente regressista que a enseja a má distribuição de renda no país e a violação dos princípios da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capacidade contributiva, da justiça tributária e social.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O sistema tributário brasileiro é assentado num viés regressivo de tributação ao passo que incide sobretudo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na produção e consumo de bens e serviços. Esse arranjo é uma das principais características da matriz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tributária brasileira, e a partir da qual resulta a maior parte da receita arrecadada pelo Estado.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Também denominada tributação indireta com efeito regressivo, esta tributação regressiva pode ser assim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considerada “na medida em que tem uma relação inversa com o nível de renda do contribuinte, prejudicando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as pessoas de menor poder aquisitivo”, já que transfere ao consumidor final a obrigação de arcar com o ônus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tributário, seja pelo aumento do preço do bem ou serviço, seja com um custo adicional.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Conforme dispõe Machado Segundo: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“Ao onerar produtos e serviços, tornando mais elevados seus preços, tais tributos atingem, do ponto de vista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econômico, os consumidores, e toda tributação do consumo é regressiva, ou implica maneira regressiva de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se tributar, indiretamente a renda. Isso porque quanto menor a renda, maior a porção dela aplicada no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consumo e, nessa condição, indireta ou economicamente alcançada pela forma de tributação em análise”.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>Logo, a tributação indireta incidente sobre o consumo – compra de um produto, mercadoria ou aquisição de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serviço – não leva em conta a renda do contribuinte, o que faz com que todos sejam tributados na mesma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proporção, independentemente de sua renda, pelo simples fato de consumir. Inexiste neste âmbito, pois, 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ideia de progressão no sentido de que quanto maior a renda do contribuinte, maior a carga tributária.</w:t>
      </w: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F569E3" w:rsidRPr="00F569E3" w:rsidRDefault="00F569E3" w:rsidP="00F569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Considerando este cenário e, já combatida carga tributária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maranhense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, é preciso frear a cobiça tributária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do Estado, ao menos no período de crise,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a fim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de que não se dilua ainda mais o poder aquisitivo daqueles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F569E3">
        <w:rPr>
          <w:rFonts w:ascii="Arial Narrow" w:eastAsia="Calibri" w:hAnsi="Arial Narrow" w:cs="Arial (W1)"/>
          <w:bCs/>
          <w:sz w:val="24"/>
          <w:szCs w:val="24"/>
        </w:rPr>
        <w:t>que mais sofrem, garantindo em outra e medida empregos à esta faixa da população.</w:t>
      </w:r>
    </w:p>
    <w:p w:rsidR="00F569E3" w:rsidRPr="000976BE" w:rsidRDefault="00F569E3" w:rsidP="00F569E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976BE" w:rsidRDefault="000976BE" w:rsidP="008C6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0976B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26" w:rsidRDefault="00E55326" w:rsidP="00860DB4">
      <w:pPr>
        <w:spacing w:after="0" w:line="240" w:lineRule="auto"/>
      </w:pPr>
      <w:r>
        <w:separator/>
      </w:r>
    </w:p>
  </w:endnote>
  <w:endnote w:type="continuationSeparator" w:id="0">
    <w:p w:rsidR="00E55326" w:rsidRDefault="00E5532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705D6">
          <w:rPr>
            <w:rFonts w:ascii="Arial Narrow" w:hAnsi="Arial Narrow"/>
            <w:noProof/>
            <w:sz w:val="16"/>
            <w:szCs w:val="16"/>
          </w:rPr>
          <w:t>3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26" w:rsidRDefault="00E55326" w:rsidP="00860DB4">
      <w:pPr>
        <w:spacing w:after="0" w:line="240" w:lineRule="auto"/>
      </w:pPr>
      <w:r>
        <w:separator/>
      </w:r>
    </w:p>
  </w:footnote>
  <w:footnote w:type="continuationSeparator" w:id="0">
    <w:p w:rsidR="00E55326" w:rsidRDefault="00E5532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976BE"/>
    <w:rsid w:val="000B5818"/>
    <w:rsid w:val="000E549A"/>
    <w:rsid w:val="00110ABE"/>
    <w:rsid w:val="00122844"/>
    <w:rsid w:val="00144BD3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36D11"/>
    <w:rsid w:val="002605CE"/>
    <w:rsid w:val="00261A0E"/>
    <w:rsid w:val="00262A50"/>
    <w:rsid w:val="00282C6E"/>
    <w:rsid w:val="00283563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13D4"/>
    <w:rsid w:val="00323B97"/>
    <w:rsid w:val="0032651A"/>
    <w:rsid w:val="003315E1"/>
    <w:rsid w:val="00337B8B"/>
    <w:rsid w:val="00355653"/>
    <w:rsid w:val="0036179A"/>
    <w:rsid w:val="00375271"/>
    <w:rsid w:val="003B1FCB"/>
    <w:rsid w:val="003B51AD"/>
    <w:rsid w:val="003C6526"/>
    <w:rsid w:val="003D1320"/>
    <w:rsid w:val="003F7776"/>
    <w:rsid w:val="003F7C07"/>
    <w:rsid w:val="00417E45"/>
    <w:rsid w:val="00436447"/>
    <w:rsid w:val="00440372"/>
    <w:rsid w:val="004558FF"/>
    <w:rsid w:val="00455B5F"/>
    <w:rsid w:val="004626D7"/>
    <w:rsid w:val="00470AB3"/>
    <w:rsid w:val="00495940"/>
    <w:rsid w:val="00495C9F"/>
    <w:rsid w:val="00496F2A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0EC6"/>
    <w:rsid w:val="00647039"/>
    <w:rsid w:val="006537BC"/>
    <w:rsid w:val="00656B86"/>
    <w:rsid w:val="00661EBF"/>
    <w:rsid w:val="00663E24"/>
    <w:rsid w:val="0067298C"/>
    <w:rsid w:val="006827F9"/>
    <w:rsid w:val="006957BB"/>
    <w:rsid w:val="006966A1"/>
    <w:rsid w:val="006A6CCB"/>
    <w:rsid w:val="006C7578"/>
    <w:rsid w:val="006E51DE"/>
    <w:rsid w:val="006F04DE"/>
    <w:rsid w:val="00715798"/>
    <w:rsid w:val="007424B9"/>
    <w:rsid w:val="0074290E"/>
    <w:rsid w:val="00746C9C"/>
    <w:rsid w:val="0075058A"/>
    <w:rsid w:val="00761044"/>
    <w:rsid w:val="00765F15"/>
    <w:rsid w:val="007808A9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2D53"/>
    <w:rsid w:val="008357DD"/>
    <w:rsid w:val="0083783C"/>
    <w:rsid w:val="00841913"/>
    <w:rsid w:val="00860DB4"/>
    <w:rsid w:val="008705D6"/>
    <w:rsid w:val="0089055A"/>
    <w:rsid w:val="00894CC6"/>
    <w:rsid w:val="008A141C"/>
    <w:rsid w:val="008A2991"/>
    <w:rsid w:val="008A6280"/>
    <w:rsid w:val="008A677B"/>
    <w:rsid w:val="008A6CE2"/>
    <w:rsid w:val="008C039D"/>
    <w:rsid w:val="008C623A"/>
    <w:rsid w:val="008C6E83"/>
    <w:rsid w:val="008E0E14"/>
    <w:rsid w:val="008E0F9E"/>
    <w:rsid w:val="008F2F44"/>
    <w:rsid w:val="008F7EF6"/>
    <w:rsid w:val="00902229"/>
    <w:rsid w:val="009065B6"/>
    <w:rsid w:val="00934595"/>
    <w:rsid w:val="00937DFF"/>
    <w:rsid w:val="00942821"/>
    <w:rsid w:val="00953254"/>
    <w:rsid w:val="00966F14"/>
    <w:rsid w:val="00973C8B"/>
    <w:rsid w:val="009769F5"/>
    <w:rsid w:val="00985431"/>
    <w:rsid w:val="009903F8"/>
    <w:rsid w:val="00994F66"/>
    <w:rsid w:val="009A4E19"/>
    <w:rsid w:val="009D4913"/>
    <w:rsid w:val="009F1ABB"/>
    <w:rsid w:val="009F25D7"/>
    <w:rsid w:val="009F7D66"/>
    <w:rsid w:val="00A06A37"/>
    <w:rsid w:val="00A11593"/>
    <w:rsid w:val="00A20289"/>
    <w:rsid w:val="00A416F9"/>
    <w:rsid w:val="00A552A0"/>
    <w:rsid w:val="00A56CFF"/>
    <w:rsid w:val="00A5729B"/>
    <w:rsid w:val="00AA4354"/>
    <w:rsid w:val="00AA4CA9"/>
    <w:rsid w:val="00AC3FEB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3A60"/>
    <w:rsid w:val="00C94199"/>
    <w:rsid w:val="00CA730C"/>
    <w:rsid w:val="00CB3DB6"/>
    <w:rsid w:val="00CC03A0"/>
    <w:rsid w:val="00CC5317"/>
    <w:rsid w:val="00CD0208"/>
    <w:rsid w:val="00CD7BCF"/>
    <w:rsid w:val="00CE2DA7"/>
    <w:rsid w:val="00CE3ECE"/>
    <w:rsid w:val="00CF0882"/>
    <w:rsid w:val="00D00F2E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418A"/>
    <w:rsid w:val="00DD52F0"/>
    <w:rsid w:val="00DE60BD"/>
    <w:rsid w:val="00E07EDF"/>
    <w:rsid w:val="00E14DD8"/>
    <w:rsid w:val="00E32657"/>
    <w:rsid w:val="00E35AE2"/>
    <w:rsid w:val="00E47264"/>
    <w:rsid w:val="00E507CD"/>
    <w:rsid w:val="00E55326"/>
    <w:rsid w:val="00E6743D"/>
    <w:rsid w:val="00E736E9"/>
    <w:rsid w:val="00E809D3"/>
    <w:rsid w:val="00EA1AF5"/>
    <w:rsid w:val="00EA5957"/>
    <w:rsid w:val="00EB318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569E3"/>
    <w:rsid w:val="00F770A1"/>
    <w:rsid w:val="00F80839"/>
    <w:rsid w:val="00FA546D"/>
    <w:rsid w:val="00FA63E9"/>
    <w:rsid w:val="00FB00A0"/>
    <w:rsid w:val="00FC252F"/>
    <w:rsid w:val="00FC30B5"/>
    <w:rsid w:val="00FD55B3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BDE34"/>
  <w15:docId w15:val="{EB70DCEC-E736-4845-9CA7-A31F047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2016-09-06T15:13:00Z</cp:lastPrinted>
  <dcterms:created xsi:type="dcterms:W3CDTF">2020-04-17T13:04:00Z</dcterms:created>
  <dcterms:modified xsi:type="dcterms:W3CDTF">2020-04-17T13:04:00Z</dcterms:modified>
</cp:coreProperties>
</file>