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D13618" w:rsidRPr="00D13618" w:rsidRDefault="00FD134D" w:rsidP="001F3C66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OBRIGAÇÃO DE RESTAURANTES, LANCHONETES, QUIOSQUES E DEMAIS EMPRESAS DO RAMO DE ENTREGA </w:t>
      </w:r>
      <w:r w:rsidR="009D5C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DE ALIMENTOS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PARA O CONSUMO IMEDIATO</w:t>
      </w:r>
      <w:r w:rsidR="009D5C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NO ÂMBITO DO ESTADO DO MARANHÃO</w:t>
      </w:r>
      <w:r w:rsidR="009D5C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 A USAR</w:t>
      </w:r>
      <w:r w:rsidR="0010075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EM</w:t>
      </w:r>
      <w:r w:rsidR="009D5C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LACRES INVIOLÁVEIS NAS EMBALAGENS DE SEUS PRODUTOS.</w:t>
      </w:r>
      <w:bookmarkStart w:id="0" w:name="_GoBack"/>
      <w:bookmarkEnd w:id="0"/>
    </w:p>
    <w:p w:rsidR="00E16F8E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D13618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7978DF" w:rsidRPr="007978DF" w:rsidRDefault="009D5CFD" w:rsidP="007978DF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Fica instaurada</w:t>
      </w:r>
      <w:r w:rsidR="00816DC1">
        <w:rPr>
          <w:rFonts w:ascii="Times New Roman" w:hAnsi="Times New Roman"/>
        </w:rPr>
        <w:t>, no âmbito do Estado do Maranhão,</w:t>
      </w:r>
      <w:r w:rsidR="00B73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obrigação de restaurantes, lanchonetes, quiosques e demais empresas do ramo de entrega de alimentos para </w:t>
      </w:r>
      <w:r w:rsidRPr="009D5CFD">
        <w:rPr>
          <w:rFonts w:ascii="Times New Roman" w:hAnsi="Times New Roman"/>
        </w:rPr>
        <w:t>consumo imediato</w:t>
      </w:r>
      <w:r>
        <w:rPr>
          <w:rFonts w:ascii="Times New Roman" w:hAnsi="Times New Roman"/>
        </w:rPr>
        <w:t>,</w:t>
      </w:r>
      <w:r w:rsidRPr="009D5CFD">
        <w:rPr>
          <w:rFonts w:ascii="Times New Roman" w:hAnsi="Times New Roman"/>
        </w:rPr>
        <w:t xml:space="preserve"> no âmbito do Estado do Maranhão, a usar lacres invioláveis nas embalagens dos seus produtos</w:t>
      </w:r>
      <w:r w:rsidR="00A76D84">
        <w:rPr>
          <w:rFonts w:ascii="Times New Roman" w:hAnsi="Times New Roman"/>
        </w:rPr>
        <w:t>.</w:t>
      </w:r>
    </w:p>
    <w:p w:rsidR="00A76D84" w:rsidRDefault="009D5CFD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ntende-se por lacre inviolável o</w:t>
      </w:r>
      <w:r w:rsidRPr="009D5CFD">
        <w:rPr>
          <w:rFonts w:ascii="Times New Roman" w:hAnsi="Times New Roman"/>
          <w:szCs w:val="24"/>
        </w:rPr>
        <w:t xml:space="preserve"> dis</w:t>
      </w:r>
      <w:r>
        <w:rPr>
          <w:rFonts w:ascii="Times New Roman" w:hAnsi="Times New Roman"/>
          <w:szCs w:val="24"/>
        </w:rPr>
        <w:t>positiv</w:t>
      </w:r>
      <w:r w:rsidR="006061BF">
        <w:rPr>
          <w:rFonts w:ascii="Times New Roman" w:hAnsi="Times New Roman"/>
          <w:szCs w:val="24"/>
        </w:rPr>
        <w:t>o que fica inutilizado em caso de remoção.</w:t>
      </w:r>
    </w:p>
    <w:p w:rsidR="009D5CFD" w:rsidRPr="009D5CFD" w:rsidRDefault="009D5CFD" w:rsidP="009D5CFD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b/>
        </w:rPr>
        <w:t>§</w:t>
      </w:r>
      <w:r w:rsidR="007C544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</w:t>
      </w:r>
      <w:r w:rsidR="006061BF">
        <w:rPr>
          <w:rFonts w:ascii="Times New Roman" w:hAnsi="Times New Roman"/>
          <w:b/>
        </w:rPr>
        <w:t xml:space="preserve"> </w:t>
      </w:r>
      <w:r w:rsidR="007C5442" w:rsidRPr="007C5442">
        <w:rPr>
          <w:rFonts w:ascii="Times New Roman" w:hAnsi="Times New Roman"/>
        </w:rPr>
        <w:t xml:space="preserve">O lacre inviolável a que se refere o </w:t>
      </w:r>
      <w:r w:rsidR="007C5442" w:rsidRPr="00133D09">
        <w:rPr>
          <w:rFonts w:ascii="Times New Roman" w:hAnsi="Times New Roman"/>
          <w:i/>
        </w:rPr>
        <w:t>caput</w:t>
      </w:r>
      <w:r w:rsidR="007C5442" w:rsidRPr="007C5442">
        <w:rPr>
          <w:rFonts w:ascii="Times New Roman" w:hAnsi="Times New Roman"/>
        </w:rPr>
        <w:t xml:space="preserve"> tem de ser rompido para abertura da embalagem do produto.</w:t>
      </w:r>
    </w:p>
    <w:p w:rsidR="009D5CFD" w:rsidRPr="009D5CFD" w:rsidRDefault="009D5CFD" w:rsidP="009D5CFD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b/>
        </w:rPr>
        <w:t>§</w:t>
      </w:r>
      <w:r w:rsidR="007C544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</w:t>
      </w:r>
      <w:r w:rsidR="007C5442" w:rsidRPr="007C5442">
        <w:rPr>
          <w:rFonts w:ascii="Times New Roman" w:hAnsi="Times New Roman"/>
        </w:rPr>
        <w:t>O selo de segurança ou lacre de proteção serve para impedir a entrega de alimentos e</w:t>
      </w:r>
      <w:r w:rsidR="006061BF">
        <w:rPr>
          <w:rFonts w:ascii="Times New Roman" w:hAnsi="Times New Roman"/>
        </w:rPr>
        <w:t xml:space="preserve">, ou, </w:t>
      </w:r>
      <w:r w:rsidR="00133D09">
        <w:rPr>
          <w:rFonts w:ascii="Times New Roman" w:hAnsi="Times New Roman"/>
        </w:rPr>
        <w:t>bebidas violada</w:t>
      </w:r>
      <w:r w:rsidR="007C5442" w:rsidRPr="007C5442">
        <w:rPr>
          <w:rFonts w:ascii="Times New Roman" w:hAnsi="Times New Roman"/>
        </w:rPr>
        <w:t>s e a possível contaminação por pessoas que não participam do processo de produção do alimento.</w:t>
      </w:r>
    </w:p>
    <w:p w:rsidR="009D5CFD" w:rsidRDefault="009D5CFD" w:rsidP="009D5CFD">
      <w:pPr>
        <w:pStyle w:val="Corpo"/>
        <w:tabs>
          <w:tab w:val="left" w:pos="1418"/>
        </w:tabs>
        <w:ind w:firstLine="1418"/>
        <w:rPr>
          <w:rFonts w:ascii="Times New Roman" w:hAnsi="Times New Roman"/>
        </w:rPr>
      </w:pPr>
      <w:r w:rsidRPr="009D5CFD">
        <w:rPr>
          <w:rFonts w:ascii="Times New Roman" w:hAnsi="Times New Roman"/>
          <w:b/>
        </w:rPr>
        <w:t>§</w:t>
      </w:r>
      <w:r w:rsidR="007C544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– </w:t>
      </w:r>
      <w:r w:rsidR="007C5442" w:rsidRPr="007C5442">
        <w:rPr>
          <w:rFonts w:ascii="Times New Roman" w:hAnsi="Times New Roman"/>
        </w:rPr>
        <w:t>O selo de segurança ou lacre de proteção deve conter a informação de que, se estiver violado, o produto não deve ser consumido pelo consumidor.</w:t>
      </w:r>
    </w:p>
    <w:p w:rsidR="007C5442" w:rsidRPr="009D5CFD" w:rsidRDefault="007C5442" w:rsidP="007C5442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5 – </w:t>
      </w:r>
      <w:r>
        <w:rPr>
          <w:rFonts w:ascii="Times New Roman" w:hAnsi="Times New Roman"/>
        </w:rPr>
        <w:t xml:space="preserve">O </w:t>
      </w:r>
      <w:r w:rsidRPr="007C5442">
        <w:rPr>
          <w:rFonts w:ascii="Times New Roman" w:hAnsi="Times New Roman"/>
        </w:rPr>
        <w:t>alimento ou bebida que tenha o lacre rompido deve ser inutilizado pelo estabelecimento logo após a devolução pelo consumidor e em hipótese alguma pode ser reaproveitado.</w:t>
      </w:r>
    </w:p>
    <w:p w:rsidR="007C5442" w:rsidRPr="009D5CFD" w:rsidRDefault="007C5442" w:rsidP="007C5442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6 – </w:t>
      </w:r>
      <w:r w:rsidRPr="007C5442">
        <w:rPr>
          <w:rFonts w:ascii="Times New Roman" w:hAnsi="Times New Roman"/>
        </w:rPr>
        <w:t>O selo de segurança ou lacre de proteção pode ser um adesivo de papel ou qualquer artigo que obrigue a ruptura ao ser aberto, ou seja, o lacre não pode continuar íntegro após a sua retirada ou após a abertura da embalagem, devendo conter cortes (picotes) de segurança que impossibilitam sua remoção sem que seja desfigurado em vários pedaços.</w:t>
      </w:r>
    </w:p>
    <w:p w:rsidR="007C5442" w:rsidRPr="009D5CFD" w:rsidRDefault="007C5442" w:rsidP="007C5442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9D5CFD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7 – </w:t>
      </w:r>
      <w:r>
        <w:rPr>
          <w:rFonts w:ascii="Times New Roman" w:hAnsi="Times New Roman"/>
        </w:rPr>
        <w:t>O</w:t>
      </w:r>
      <w:r w:rsidRPr="007C5442">
        <w:rPr>
          <w:rFonts w:ascii="Times New Roman" w:hAnsi="Times New Roman"/>
        </w:rPr>
        <w:t>utros tipos de lacre contendo mecanismos que garantam a visualização a sua violação podem ser utilizados.</w:t>
      </w:r>
    </w:p>
    <w:p w:rsidR="007C5442" w:rsidRDefault="007C5442" w:rsidP="007C5442">
      <w:pPr>
        <w:pStyle w:val="Corpo"/>
        <w:tabs>
          <w:tab w:val="left" w:pos="1418"/>
        </w:tabs>
        <w:ind w:firstLine="1418"/>
        <w:rPr>
          <w:rFonts w:ascii="Times New Roman" w:hAnsi="Times New Roman"/>
        </w:rPr>
      </w:pPr>
      <w:r w:rsidRPr="009D5CFD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8 – </w:t>
      </w:r>
      <w:r w:rsidRPr="007C5442">
        <w:rPr>
          <w:rFonts w:ascii="Times New Roman" w:hAnsi="Times New Roman"/>
        </w:rPr>
        <w:t>Os lacres podem ser impressos com o logotipo ou logomarca da empresa, código de barras ou numeração sequencial.</w:t>
      </w:r>
    </w:p>
    <w:p w:rsidR="007C5442" w:rsidRDefault="007C544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7C5442">
        <w:rPr>
          <w:rFonts w:ascii="Times New Roman" w:hAnsi="Times New Roman"/>
          <w:szCs w:val="24"/>
        </w:rPr>
        <w:t>Somente é obrigatório o uso do selo de segurança, lacre de proteção ou outro dispositivo que assegure a inviolabilidade do produto, para as bebidas envasadas no estabelecimento, sendo dispensado para as bebidas já vedadas em local de fabricação diverso.</w:t>
      </w:r>
    </w:p>
    <w:p w:rsidR="007C5442" w:rsidRDefault="007C544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7C5442">
        <w:rPr>
          <w:rFonts w:ascii="Times New Roman" w:hAnsi="Times New Roman"/>
          <w:szCs w:val="24"/>
        </w:rPr>
        <w:t>O descumprimento do disposto nesta Lei sujeita seus infratores às penalidades estabelecidas pelo art. 56 da Lei federal nº 8.078, de 11 de setembro de 1990.</w:t>
      </w:r>
    </w:p>
    <w:p w:rsidR="007C5442" w:rsidRDefault="007C544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7C5442">
        <w:rPr>
          <w:rFonts w:ascii="Times New Roman" w:hAnsi="Times New Roman"/>
          <w:szCs w:val="24"/>
        </w:rPr>
        <w:t xml:space="preserve">Além das sanções previstas no art. 5º, o infrator está sujeito a multa no valor de R$ </w:t>
      </w:r>
      <w:r w:rsidR="0008529E">
        <w:rPr>
          <w:rFonts w:ascii="Times New Roman" w:hAnsi="Times New Roman"/>
          <w:szCs w:val="24"/>
        </w:rPr>
        <w:t>1,50</w:t>
      </w:r>
      <w:r w:rsidRPr="007C5442">
        <w:rPr>
          <w:rFonts w:ascii="Times New Roman" w:hAnsi="Times New Roman"/>
          <w:szCs w:val="24"/>
        </w:rPr>
        <w:t xml:space="preserve"> por embalagem não lacrada e, em caso de reincidência, a multa é majorada para R$ </w:t>
      </w:r>
      <w:r w:rsidR="0008529E">
        <w:rPr>
          <w:rFonts w:ascii="Times New Roman" w:hAnsi="Times New Roman"/>
          <w:szCs w:val="24"/>
        </w:rPr>
        <w:t>3,00</w:t>
      </w:r>
      <w:r w:rsidR="006061BF">
        <w:rPr>
          <w:rFonts w:ascii="Times New Roman" w:hAnsi="Times New Roman"/>
          <w:szCs w:val="24"/>
        </w:rPr>
        <w:t xml:space="preserve"> </w:t>
      </w:r>
      <w:r w:rsidRPr="007C5442">
        <w:rPr>
          <w:rFonts w:ascii="Times New Roman" w:hAnsi="Times New Roman"/>
          <w:szCs w:val="24"/>
        </w:rPr>
        <w:t>por embalagem não lacrada, bem como o infrator está sujeito a revogação do alvará de funcionamento e proibição de renovação até que haja demonstração de cumprimento ao disposto nesta Lei.</w:t>
      </w:r>
    </w:p>
    <w:p w:rsidR="007C5442" w:rsidRDefault="007C544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7C5442">
        <w:rPr>
          <w:rFonts w:ascii="Times New Roman" w:hAnsi="Times New Roman"/>
          <w:szCs w:val="24"/>
        </w:rPr>
        <w:t>As despesas para criação, aquisição e elaboração dos lacres ficam a cargo das empresas do ramo de alimentos que efetuem suas entregas em domicílio.</w:t>
      </w:r>
    </w:p>
    <w:p w:rsidR="007C5442" w:rsidRDefault="007C544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7C5442">
        <w:rPr>
          <w:rFonts w:ascii="Times New Roman" w:hAnsi="Times New Roman"/>
          <w:szCs w:val="24"/>
        </w:rPr>
        <w:lastRenderedPageBreak/>
        <w:t xml:space="preserve">A fiscalização do disposto nesta Lei fica a cargo do </w:t>
      </w:r>
      <w:r w:rsidR="00267C46" w:rsidRPr="0008529E">
        <w:rPr>
          <w:rFonts w:ascii="Times New Roman" w:hAnsi="Times New Roman"/>
          <w:szCs w:val="24"/>
        </w:rPr>
        <w:t>PROCON/MA</w:t>
      </w:r>
    </w:p>
    <w:p w:rsidR="0008529E" w:rsidRDefault="0008529E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Poder Executivo deverá regulamentar a presente lei.</w:t>
      </w:r>
    </w:p>
    <w:p w:rsidR="007C5442" w:rsidRPr="007C5442" w:rsidRDefault="001C7559" w:rsidP="007C5442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</w:t>
      </w:r>
      <w:r w:rsidR="00D73DE4">
        <w:rPr>
          <w:rFonts w:ascii="Times New Roman" w:hAnsi="Times New Roman"/>
          <w:szCs w:val="24"/>
        </w:rPr>
        <w:t xml:space="preserve"> Lei entra em vigor </w:t>
      </w:r>
      <w:r w:rsidR="0008529E">
        <w:rPr>
          <w:rFonts w:ascii="Times New Roman" w:hAnsi="Times New Roman"/>
          <w:szCs w:val="24"/>
        </w:rPr>
        <w:t>60 dias após oficialmente publicada</w:t>
      </w:r>
      <w:r w:rsidR="00D73DE4">
        <w:rPr>
          <w:rFonts w:ascii="Times New Roman" w:hAnsi="Times New Roman"/>
          <w:szCs w:val="24"/>
        </w:rPr>
        <w:t>.</w:t>
      </w:r>
    </w:p>
    <w:p w:rsidR="00C863EA" w:rsidRPr="00C863EA" w:rsidRDefault="00C863EA" w:rsidP="00C863EA">
      <w:pPr>
        <w:pStyle w:val="Corpo"/>
        <w:tabs>
          <w:tab w:val="left" w:pos="1418"/>
        </w:tabs>
        <w:rPr>
          <w:rFonts w:ascii="Times New Roman" w:hAnsi="Times New Roman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FA1C12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FA1C12" w:rsidRDefault="00FA1C12" w:rsidP="007C544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alimentação se apresenta como requisito básico</w:t>
      </w:r>
      <w:r w:rsidR="005E09A4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>
        <w:rPr>
          <w:rFonts w:ascii="Times New Roman" w:eastAsia="Calibri" w:hAnsi="Times New Roman" w:cs="Times New Roman"/>
          <w:sz w:val="24"/>
          <w:szCs w:val="24"/>
        </w:rPr>
        <w:t>a proteção à saúde de modo que possibilita a afirmação plena do potencial de crescimento e desenvolvimento humano com viabilização de qualidade de vi</w:t>
      </w:r>
      <w:r w:rsidR="0047200B">
        <w:rPr>
          <w:rFonts w:ascii="Times New Roman" w:eastAsia="Calibri" w:hAnsi="Times New Roman" w:cs="Times New Roman"/>
          <w:sz w:val="24"/>
          <w:szCs w:val="24"/>
        </w:rPr>
        <w:t xml:space="preserve">da e cidadania. Assim, é universal o direito ao acesso de condições mínimas a alimentos de qualidade e em quantidades suficientes para suprir necessidades básicas. </w:t>
      </w:r>
    </w:p>
    <w:p w:rsidR="00A3025D" w:rsidRDefault="00FA1C12" w:rsidP="007C544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doenças transmitidas por alimentos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são aquelas que resultam de agentes que penetram no organismo humano</w:t>
      </w:r>
      <w:r w:rsidR="0047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por intermédio da ingestão de água ou alimentos contaminados. </w:t>
      </w:r>
      <w:r w:rsidR="0047200B">
        <w:rPr>
          <w:rFonts w:ascii="Times New Roman" w:eastAsia="Calibri" w:hAnsi="Times New Roman" w:cs="Times New Roman"/>
          <w:sz w:val="24"/>
          <w:szCs w:val="24"/>
        </w:rPr>
        <w:t xml:space="preserve">A incidência dessas moléstias cresce anualmente </w:t>
      </w:r>
      <w:r w:rsidR="00637F25">
        <w:rPr>
          <w:rFonts w:ascii="Times New Roman" w:eastAsia="Calibri" w:hAnsi="Times New Roman" w:cs="Times New Roman"/>
          <w:sz w:val="24"/>
          <w:szCs w:val="24"/>
        </w:rPr>
        <w:t xml:space="preserve">embora sua notificação não seja tão alta haja vista os sintomas relativamente brandos que nem sempre levam os pacientes a busca por auxílio médico. </w:t>
      </w:r>
    </w:p>
    <w:p w:rsidR="00637F25" w:rsidRDefault="00637F25" w:rsidP="007C544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entanto, é válido ressaltar que essas doenças podem dar origens a surtos que são episódios de sintomas apresentados em um mesmo período de tempo entre duas ou mais pessoas que ingeriram o mesmo alimento contaminado por evidência clínica, epidemiológica e, ou, laboratorial.</w:t>
      </w:r>
    </w:p>
    <w:p w:rsidR="00637F25" w:rsidRDefault="00637F25" w:rsidP="00637F25">
      <w:pPr>
        <w:tabs>
          <w:tab w:val="left" w:pos="1134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7F25">
        <w:rPr>
          <w:rFonts w:ascii="Times New Roman" w:eastAsia="Calibri" w:hAnsi="Times New Roman" w:cs="Times New Roman"/>
          <w:sz w:val="24"/>
          <w:szCs w:val="24"/>
        </w:rPr>
        <w:t>Os alimentos contaminados aparentemente são normais, apresentam odor e sabor normais e, como o consumidor não está devidamente esclarecido ou consciente dos perigos envolvidos, não consegue identificar qual alimento poderia estar contaminado em suas últimas refeições. Sendo assim, torna-se difícil rastrear os alimentos responsávei</w:t>
      </w:r>
      <w:r>
        <w:rPr>
          <w:rFonts w:ascii="Times New Roman" w:eastAsia="Calibri" w:hAnsi="Times New Roman" w:cs="Times New Roman"/>
          <w:sz w:val="24"/>
          <w:szCs w:val="24"/>
        </w:rPr>
        <w:t xml:space="preserve">s pelas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toxinfecções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ocorridas (p. 424)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F25" w:rsidRDefault="00637F25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a presente propositura tem por objetivo precípuo garantir maior segurança aos consumidores que façam uso de serviços de entrega (que tem sido importante alternativa para evitar aglomerações</w:t>
      </w:r>
      <w:r w:rsidR="00B25BA5">
        <w:rPr>
          <w:rFonts w:ascii="Times New Roman" w:eastAsia="Calibri" w:hAnsi="Times New Roman" w:cs="Times New Roman"/>
          <w:sz w:val="24"/>
          <w:szCs w:val="24"/>
        </w:rPr>
        <w:t xml:space="preserve"> durante o período de pandemia em restaurantes e supermercados) para consumo imediato, garantindo que ao receberem as embalagens de alimentos encontrarão o produto em consonância com a expedição de origem do estabelecimento sem risco de alteração durante o trajeto de entrega. </w:t>
      </w:r>
    </w:p>
    <w:p w:rsidR="00B25BA5" w:rsidRDefault="00B25BA5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Reitera-se, ainda, que a proposição em tela apresenta fulcro no âmago do artigo 24, V e XII do Texto Constitucional cuja previsão estabelece competência concorrente da União, Estados e ao Distrito Federal para legislar sobre produção e consumo.</w:t>
      </w:r>
    </w:p>
    <w:p w:rsidR="005315A5" w:rsidRPr="005315A5" w:rsidRDefault="00B25BA5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justifica-se</w:t>
      </w:r>
      <w:r w:rsidR="00A3025D">
        <w:rPr>
          <w:rFonts w:ascii="Times New Roman" w:eastAsia="Calibri" w:hAnsi="Times New Roman" w:cs="Times New Roman"/>
          <w:sz w:val="24"/>
          <w:szCs w:val="24"/>
        </w:rPr>
        <w:t xml:space="preserve"> a presente propositura </w:t>
      </w:r>
      <w:r>
        <w:rPr>
          <w:rFonts w:ascii="Times New Roman" w:eastAsia="Calibri" w:hAnsi="Times New Roman" w:cs="Times New Roman"/>
          <w:sz w:val="24"/>
          <w:szCs w:val="24"/>
        </w:rPr>
        <w:t>e conto</w:t>
      </w:r>
      <w:r w:rsidR="00A30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CF1">
        <w:rPr>
          <w:rFonts w:ascii="Times New Roman" w:eastAsia="Calibri" w:hAnsi="Times New Roman" w:cs="Times New Roman"/>
          <w:sz w:val="24"/>
          <w:szCs w:val="24"/>
        </w:rPr>
        <w:t xml:space="preserve">com a aprovação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45" w:rsidRDefault="00BD7045" w:rsidP="00E660E2">
      <w:pPr>
        <w:spacing w:after="0" w:line="240" w:lineRule="auto"/>
      </w:pPr>
      <w:r>
        <w:separator/>
      </w:r>
    </w:p>
  </w:endnote>
  <w:endnote w:type="continuationSeparator" w:id="0">
    <w:p w:rsidR="00BD7045" w:rsidRDefault="00BD7045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45" w:rsidRDefault="00BD7045" w:rsidP="00E660E2">
      <w:pPr>
        <w:spacing w:after="0" w:line="240" w:lineRule="auto"/>
      </w:pPr>
      <w:r>
        <w:separator/>
      </w:r>
    </w:p>
  </w:footnote>
  <w:footnote w:type="continuationSeparator" w:id="0">
    <w:p w:rsidR="00BD7045" w:rsidRDefault="00BD7045" w:rsidP="00E660E2">
      <w:pPr>
        <w:spacing w:after="0" w:line="240" w:lineRule="auto"/>
      </w:pPr>
      <w:r>
        <w:continuationSeparator/>
      </w:r>
    </w:p>
  </w:footnote>
  <w:footnote w:id="1">
    <w:p w:rsidR="00637F25" w:rsidRPr="00637F25" w:rsidRDefault="00637F25" w:rsidP="00637F25">
      <w:pPr>
        <w:pStyle w:val="Textodenotaderodap"/>
        <w:jc w:val="both"/>
        <w:rPr>
          <w:rFonts w:ascii="Times New Roman" w:hAnsi="Times New Roman" w:cs="Times New Roman"/>
        </w:rPr>
      </w:pPr>
      <w:r w:rsidRPr="00637F25">
        <w:rPr>
          <w:rStyle w:val="Refdenotaderodap"/>
          <w:rFonts w:ascii="Times New Roman" w:hAnsi="Times New Roman" w:cs="Times New Roman"/>
        </w:rPr>
        <w:footnoteRef/>
      </w:r>
      <w:r w:rsidRPr="00637F25">
        <w:rPr>
          <w:rFonts w:ascii="Times New Roman" w:hAnsi="Times New Roman" w:cs="Times New Roman"/>
        </w:rPr>
        <w:t xml:space="preserve"> FORSYTHE, S. J. </w:t>
      </w:r>
      <w:r w:rsidRPr="00637F25">
        <w:rPr>
          <w:rFonts w:ascii="Times New Roman" w:hAnsi="Times New Roman" w:cs="Times New Roman"/>
          <w:b/>
        </w:rPr>
        <w:t>Microbiologia da segurança alimentar</w:t>
      </w:r>
      <w:r w:rsidRPr="00637F25">
        <w:rPr>
          <w:rFonts w:ascii="Times New Roman" w:hAnsi="Times New Roman" w:cs="Times New Roman"/>
        </w:rPr>
        <w:t>. Porto Alegre: Artmed, 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33A27"/>
    <w:multiLevelType w:val="hybridMultilevel"/>
    <w:tmpl w:val="EE54A136"/>
    <w:lvl w:ilvl="0" w:tplc="35DEE8F0">
      <w:start w:val="1"/>
      <w:numFmt w:val="upperRoman"/>
      <w:lvlText w:val="%1 - 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0F4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8529E"/>
    <w:rsid w:val="000943E3"/>
    <w:rsid w:val="000C7554"/>
    <w:rsid w:val="000D56A1"/>
    <w:rsid w:val="000E0BD4"/>
    <w:rsid w:val="000E65EB"/>
    <w:rsid w:val="00100758"/>
    <w:rsid w:val="00133D09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67C46"/>
    <w:rsid w:val="002718BD"/>
    <w:rsid w:val="00275C3F"/>
    <w:rsid w:val="00284432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2F20D2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05C1"/>
    <w:rsid w:val="003D328F"/>
    <w:rsid w:val="003E71A2"/>
    <w:rsid w:val="0042282F"/>
    <w:rsid w:val="004263B0"/>
    <w:rsid w:val="00430335"/>
    <w:rsid w:val="00433762"/>
    <w:rsid w:val="00437BEE"/>
    <w:rsid w:val="00440FA9"/>
    <w:rsid w:val="0046545C"/>
    <w:rsid w:val="0047200B"/>
    <w:rsid w:val="00477E52"/>
    <w:rsid w:val="004831B6"/>
    <w:rsid w:val="004833EB"/>
    <w:rsid w:val="0049769B"/>
    <w:rsid w:val="00497E00"/>
    <w:rsid w:val="004B4968"/>
    <w:rsid w:val="004C0305"/>
    <w:rsid w:val="004D497B"/>
    <w:rsid w:val="004D54FA"/>
    <w:rsid w:val="004E4A99"/>
    <w:rsid w:val="0050232E"/>
    <w:rsid w:val="0052133E"/>
    <w:rsid w:val="005315A5"/>
    <w:rsid w:val="00532B54"/>
    <w:rsid w:val="00542415"/>
    <w:rsid w:val="005446EB"/>
    <w:rsid w:val="00546213"/>
    <w:rsid w:val="0055470D"/>
    <w:rsid w:val="00555C89"/>
    <w:rsid w:val="00560387"/>
    <w:rsid w:val="00572049"/>
    <w:rsid w:val="00576B56"/>
    <w:rsid w:val="00577B60"/>
    <w:rsid w:val="00583832"/>
    <w:rsid w:val="00591214"/>
    <w:rsid w:val="005B033B"/>
    <w:rsid w:val="005B148B"/>
    <w:rsid w:val="005B1BD3"/>
    <w:rsid w:val="005C43E3"/>
    <w:rsid w:val="005D0515"/>
    <w:rsid w:val="005D076D"/>
    <w:rsid w:val="005E0644"/>
    <w:rsid w:val="005E09A4"/>
    <w:rsid w:val="005E6BC3"/>
    <w:rsid w:val="005F14DF"/>
    <w:rsid w:val="00604469"/>
    <w:rsid w:val="006061BF"/>
    <w:rsid w:val="006251AB"/>
    <w:rsid w:val="006314B9"/>
    <w:rsid w:val="00637F25"/>
    <w:rsid w:val="00667301"/>
    <w:rsid w:val="00677B9F"/>
    <w:rsid w:val="006875E4"/>
    <w:rsid w:val="00696FFA"/>
    <w:rsid w:val="006B524B"/>
    <w:rsid w:val="006B7DD0"/>
    <w:rsid w:val="006C2820"/>
    <w:rsid w:val="006C2CF1"/>
    <w:rsid w:val="006F2C03"/>
    <w:rsid w:val="006F6590"/>
    <w:rsid w:val="00713F20"/>
    <w:rsid w:val="00721A7E"/>
    <w:rsid w:val="00727F0C"/>
    <w:rsid w:val="0073482B"/>
    <w:rsid w:val="007531CB"/>
    <w:rsid w:val="00754ABD"/>
    <w:rsid w:val="00756B7A"/>
    <w:rsid w:val="00762510"/>
    <w:rsid w:val="007679F1"/>
    <w:rsid w:val="00772D82"/>
    <w:rsid w:val="007778E8"/>
    <w:rsid w:val="00790152"/>
    <w:rsid w:val="00791DE6"/>
    <w:rsid w:val="007978DF"/>
    <w:rsid w:val="007A44F6"/>
    <w:rsid w:val="007B653F"/>
    <w:rsid w:val="007B6DAB"/>
    <w:rsid w:val="007B7139"/>
    <w:rsid w:val="007C5442"/>
    <w:rsid w:val="007D07FC"/>
    <w:rsid w:val="007D201D"/>
    <w:rsid w:val="007D5954"/>
    <w:rsid w:val="007F68E3"/>
    <w:rsid w:val="00801F45"/>
    <w:rsid w:val="00811047"/>
    <w:rsid w:val="0081388B"/>
    <w:rsid w:val="00814411"/>
    <w:rsid w:val="00816DC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323B4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6F21"/>
    <w:rsid w:val="009B2060"/>
    <w:rsid w:val="009C4C89"/>
    <w:rsid w:val="009D3148"/>
    <w:rsid w:val="009D5CFD"/>
    <w:rsid w:val="00A00FC9"/>
    <w:rsid w:val="00A10AE1"/>
    <w:rsid w:val="00A2364E"/>
    <w:rsid w:val="00A24D52"/>
    <w:rsid w:val="00A3025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25BA5"/>
    <w:rsid w:val="00B357F8"/>
    <w:rsid w:val="00B733FB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045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C7D23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275E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4243A"/>
    <w:rsid w:val="00F44930"/>
    <w:rsid w:val="00F50F29"/>
    <w:rsid w:val="00F61C75"/>
    <w:rsid w:val="00F64E01"/>
    <w:rsid w:val="00F80C93"/>
    <w:rsid w:val="00F83C65"/>
    <w:rsid w:val="00F919B5"/>
    <w:rsid w:val="00FA1C12"/>
    <w:rsid w:val="00FA4436"/>
    <w:rsid w:val="00FA667C"/>
    <w:rsid w:val="00FB1A9F"/>
    <w:rsid w:val="00FB3FAD"/>
    <w:rsid w:val="00FB660F"/>
    <w:rsid w:val="00FC332B"/>
    <w:rsid w:val="00FD134D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1E5"/>
  <w15:docId w15:val="{955060CE-BE90-4B60-B03F-A81BC46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898E-D6E1-480E-B09E-C64A448A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PROJETO DE LEI Nº ____, DE 2021</vt:lpstr>
      <vt:lpstr/>
      <vt:lpstr>Autoria: DR. YGLÉSIO</vt:lpstr>
      <vt:lpstr>A alimentação se apresenta como requisito básico para a proteção à saúde de modo</vt:lpstr>
      <vt:lpstr>As doenças transmitidas por alimentos (DTAs) são aquelas que resultam de agentes</vt:lpstr>
      <vt:lpstr>No entanto, é válido ressaltar que essas doenças podem dar origens a surtos que </vt:lpstr>
      <vt:lpstr>Os alimentos contaminados aparentemente são normais, apresentam odor e sabor nor</vt:lpstr>
      <vt:lpstr>Nesse sentido, a presente propositura tem por objetivo precípuo garantir maior s</vt:lpstr>
      <vt:lpstr>Para evitar que esses tipos de situações ocorram no âmbito do Estado do Maranhão</vt:lpstr>
    </vt:vector>
  </TitlesOfParts>
  <Company>HP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Juliana Ester</cp:lastModifiedBy>
  <cp:revision>4</cp:revision>
  <cp:lastPrinted>2020-06-08T20:50:00Z</cp:lastPrinted>
  <dcterms:created xsi:type="dcterms:W3CDTF">2021-04-26T14:53:00Z</dcterms:created>
  <dcterms:modified xsi:type="dcterms:W3CDTF">2021-04-28T17:12:00Z</dcterms:modified>
</cp:coreProperties>
</file>