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C8D" w:rsidRPr="00BB51DD" w:rsidRDefault="00727003" w:rsidP="00372C8D">
      <w:pPr>
        <w:tabs>
          <w:tab w:val="right" w:pos="9639"/>
        </w:tabs>
        <w:jc w:val="both"/>
        <w:rPr>
          <w:szCs w:val="24"/>
        </w:rPr>
      </w:pPr>
      <w:r>
        <w:rPr>
          <w:szCs w:val="24"/>
        </w:rPr>
        <w:t xml:space="preserve">MENSAGEM Nº </w:t>
      </w:r>
      <w:r w:rsidR="00C16390">
        <w:rPr>
          <w:szCs w:val="24"/>
        </w:rPr>
        <w:t>52</w:t>
      </w:r>
      <w:r>
        <w:rPr>
          <w:szCs w:val="24"/>
        </w:rPr>
        <w:t>/2021</w:t>
      </w:r>
      <w:r w:rsidR="00372C8D" w:rsidRPr="00BB51DD">
        <w:rPr>
          <w:szCs w:val="24"/>
        </w:rPr>
        <w:t xml:space="preserve"> </w:t>
      </w:r>
      <w:r w:rsidR="00372C8D" w:rsidRPr="00BB51DD">
        <w:rPr>
          <w:szCs w:val="24"/>
        </w:rPr>
        <w:tab/>
        <w:t>Sã</w:t>
      </w:r>
      <w:r>
        <w:rPr>
          <w:szCs w:val="24"/>
        </w:rPr>
        <w:t xml:space="preserve">o Luís, </w:t>
      </w:r>
      <w:r w:rsidR="00C16390">
        <w:rPr>
          <w:szCs w:val="24"/>
        </w:rPr>
        <w:t>17</w:t>
      </w:r>
      <w:r>
        <w:rPr>
          <w:szCs w:val="24"/>
        </w:rPr>
        <w:t xml:space="preserve"> </w:t>
      </w:r>
      <w:proofErr w:type="gramStart"/>
      <w:r>
        <w:rPr>
          <w:szCs w:val="24"/>
        </w:rPr>
        <w:t xml:space="preserve">de  </w:t>
      </w:r>
      <w:r w:rsidR="00C16390">
        <w:rPr>
          <w:szCs w:val="24"/>
        </w:rPr>
        <w:t>maio</w:t>
      </w:r>
      <w:proofErr w:type="gramEnd"/>
      <w:r>
        <w:rPr>
          <w:szCs w:val="24"/>
        </w:rPr>
        <w:t xml:space="preserve"> de 2021</w:t>
      </w:r>
      <w:r w:rsidR="00372C8D" w:rsidRPr="00BB51DD">
        <w:rPr>
          <w:szCs w:val="24"/>
        </w:rPr>
        <w:t>.</w:t>
      </w:r>
    </w:p>
    <w:p w:rsidR="000A5312" w:rsidRDefault="000A5312" w:rsidP="000A5312">
      <w:pPr>
        <w:tabs>
          <w:tab w:val="left" w:pos="3531"/>
        </w:tabs>
        <w:jc w:val="both"/>
        <w:rPr>
          <w:b/>
          <w:szCs w:val="24"/>
        </w:rPr>
      </w:pPr>
    </w:p>
    <w:p w:rsidR="00372C8D" w:rsidRPr="00BB51DD" w:rsidRDefault="00372C8D" w:rsidP="00372C8D">
      <w:pPr>
        <w:tabs>
          <w:tab w:val="left" w:pos="3531"/>
        </w:tabs>
        <w:jc w:val="both"/>
        <w:rPr>
          <w:szCs w:val="24"/>
        </w:rPr>
      </w:pPr>
    </w:p>
    <w:p w:rsidR="00372C8D" w:rsidRPr="00BB51DD" w:rsidRDefault="00372C8D" w:rsidP="00372C8D">
      <w:pPr>
        <w:tabs>
          <w:tab w:val="left" w:pos="3531"/>
        </w:tabs>
        <w:jc w:val="both"/>
        <w:rPr>
          <w:szCs w:val="24"/>
        </w:rPr>
      </w:pPr>
    </w:p>
    <w:p w:rsidR="00372C8D" w:rsidRPr="00BB51DD" w:rsidRDefault="00372C8D" w:rsidP="00372C8D">
      <w:pPr>
        <w:tabs>
          <w:tab w:val="left" w:pos="3531"/>
        </w:tabs>
        <w:jc w:val="both"/>
        <w:rPr>
          <w:szCs w:val="24"/>
        </w:rPr>
      </w:pPr>
    </w:p>
    <w:p w:rsidR="00372C8D" w:rsidRPr="00BB51DD" w:rsidRDefault="00372C8D" w:rsidP="00372C8D">
      <w:pPr>
        <w:tabs>
          <w:tab w:val="left" w:pos="3531"/>
        </w:tabs>
        <w:jc w:val="both"/>
        <w:rPr>
          <w:szCs w:val="24"/>
        </w:rPr>
      </w:pPr>
    </w:p>
    <w:p w:rsidR="00372C8D" w:rsidRPr="00BB51DD" w:rsidRDefault="00372C8D" w:rsidP="00372C8D">
      <w:pPr>
        <w:tabs>
          <w:tab w:val="left" w:pos="3531"/>
        </w:tabs>
        <w:jc w:val="both"/>
        <w:rPr>
          <w:szCs w:val="24"/>
        </w:rPr>
      </w:pPr>
    </w:p>
    <w:p w:rsidR="00372C8D" w:rsidRPr="00BB51DD" w:rsidRDefault="00372C8D" w:rsidP="00372C8D">
      <w:pPr>
        <w:tabs>
          <w:tab w:val="left" w:pos="3531"/>
        </w:tabs>
        <w:jc w:val="both"/>
        <w:rPr>
          <w:szCs w:val="24"/>
        </w:rPr>
      </w:pPr>
    </w:p>
    <w:p w:rsidR="00372C8D" w:rsidRPr="00BB51DD" w:rsidRDefault="00372C8D" w:rsidP="00372C8D">
      <w:pPr>
        <w:tabs>
          <w:tab w:val="left" w:pos="3531"/>
        </w:tabs>
        <w:jc w:val="both"/>
        <w:rPr>
          <w:szCs w:val="24"/>
        </w:rPr>
      </w:pPr>
    </w:p>
    <w:p w:rsidR="00372C8D" w:rsidRPr="00BB51DD" w:rsidRDefault="00372C8D" w:rsidP="00372C8D">
      <w:pPr>
        <w:tabs>
          <w:tab w:val="left" w:pos="3531"/>
        </w:tabs>
        <w:jc w:val="both"/>
        <w:rPr>
          <w:szCs w:val="24"/>
        </w:rPr>
      </w:pPr>
    </w:p>
    <w:p w:rsidR="000A5312" w:rsidRDefault="000A5312" w:rsidP="00372C8D">
      <w:pPr>
        <w:jc w:val="both"/>
        <w:rPr>
          <w:szCs w:val="24"/>
        </w:rPr>
      </w:pPr>
      <w:r w:rsidRPr="00727D5B">
        <w:rPr>
          <w:szCs w:val="24"/>
        </w:rPr>
        <w:t>Senhor Presidente,</w:t>
      </w:r>
    </w:p>
    <w:p w:rsidR="00372C8D" w:rsidRDefault="00372C8D" w:rsidP="00372C8D">
      <w:pPr>
        <w:jc w:val="both"/>
        <w:rPr>
          <w:szCs w:val="24"/>
        </w:rPr>
      </w:pPr>
    </w:p>
    <w:p w:rsidR="00372C8D" w:rsidRPr="00727D5B" w:rsidRDefault="00372C8D" w:rsidP="000A5312">
      <w:pPr>
        <w:ind w:firstLine="1418"/>
        <w:jc w:val="both"/>
        <w:rPr>
          <w:szCs w:val="24"/>
        </w:rPr>
      </w:pPr>
    </w:p>
    <w:p w:rsidR="001E2775" w:rsidRPr="004344A9" w:rsidRDefault="001E2775" w:rsidP="001E2775">
      <w:pPr>
        <w:ind w:firstLine="1418"/>
        <w:jc w:val="both"/>
        <w:rPr>
          <w:szCs w:val="24"/>
        </w:rPr>
      </w:pPr>
      <w:r w:rsidRPr="004344A9">
        <w:rPr>
          <w:szCs w:val="24"/>
        </w:rPr>
        <w:t>Comunico a Vossa Excelência que, nos termos dos art. 47,</w:t>
      </w:r>
      <w:r>
        <w:rPr>
          <w:szCs w:val="24"/>
        </w:rPr>
        <w:t xml:space="preserve"> </w:t>
      </w:r>
      <w:r w:rsidRPr="004344A9">
        <w:rPr>
          <w:i/>
          <w:szCs w:val="24"/>
        </w:rPr>
        <w:t>caput</w:t>
      </w:r>
      <w:r w:rsidRPr="004344A9">
        <w:rPr>
          <w:szCs w:val="24"/>
        </w:rPr>
        <w:t>, e 64, IV, da Constituição Estadual, decidi vetar totalmente, por padecer de vício de inconstitucionalidade formal</w:t>
      </w:r>
      <w:r>
        <w:rPr>
          <w:szCs w:val="24"/>
        </w:rPr>
        <w:t xml:space="preserve"> e material</w:t>
      </w:r>
      <w:r w:rsidR="00A178F1">
        <w:rPr>
          <w:szCs w:val="24"/>
        </w:rPr>
        <w:t xml:space="preserve"> e contrariedade ao interesse público</w:t>
      </w:r>
      <w:r w:rsidRPr="004344A9">
        <w:rPr>
          <w:szCs w:val="24"/>
        </w:rPr>
        <w:t>, o Projeto de Lei nº 0</w:t>
      </w:r>
      <w:r>
        <w:rPr>
          <w:szCs w:val="24"/>
        </w:rPr>
        <w:t>39</w:t>
      </w:r>
      <w:r w:rsidRPr="004344A9">
        <w:rPr>
          <w:szCs w:val="24"/>
        </w:rPr>
        <w:t>/202</w:t>
      </w:r>
      <w:r>
        <w:rPr>
          <w:szCs w:val="24"/>
        </w:rPr>
        <w:t>1</w:t>
      </w:r>
      <w:r w:rsidRPr="004344A9">
        <w:rPr>
          <w:szCs w:val="24"/>
        </w:rPr>
        <w:t xml:space="preserve">, que </w:t>
      </w:r>
      <w:r>
        <w:rPr>
          <w:szCs w:val="24"/>
        </w:rPr>
        <w:t>dispõe sobre a Garantia do Acesso à Informação, com a Transparência, na Internet, da Listagem de pacientes que aguardam por consultas, exames e intervenções cirúrgicas da rede pública de saúde do Estado do Maranhão</w:t>
      </w:r>
      <w:r w:rsidRPr="004344A9">
        <w:rPr>
          <w:szCs w:val="24"/>
        </w:rPr>
        <w:t>.</w:t>
      </w:r>
    </w:p>
    <w:p w:rsidR="001E2775" w:rsidRPr="004344A9" w:rsidRDefault="001E2775" w:rsidP="001E2775">
      <w:pPr>
        <w:ind w:firstLine="1418"/>
        <w:jc w:val="both"/>
        <w:rPr>
          <w:szCs w:val="24"/>
        </w:rPr>
      </w:pPr>
    </w:p>
    <w:p w:rsidR="001E2775" w:rsidRPr="004344A9" w:rsidRDefault="001E2775" w:rsidP="001E2775">
      <w:pPr>
        <w:ind w:firstLine="1418"/>
        <w:jc w:val="both"/>
        <w:rPr>
          <w:szCs w:val="24"/>
        </w:rPr>
      </w:pPr>
      <w:r w:rsidRPr="004344A9">
        <w:rPr>
          <w:szCs w:val="24"/>
        </w:rPr>
        <w:t>Ao fazer-lhe a presente comunicação, passo às mãos de Vossa Excelência as razões do veto, as quais, como há de convir essa Augusta Assembleia, justificam-no plenamente.</w:t>
      </w:r>
    </w:p>
    <w:p w:rsidR="001E2775" w:rsidRPr="004344A9" w:rsidRDefault="001E2775" w:rsidP="001E2775">
      <w:pPr>
        <w:ind w:firstLine="1418"/>
        <w:jc w:val="both"/>
        <w:rPr>
          <w:szCs w:val="24"/>
        </w:rPr>
      </w:pPr>
    </w:p>
    <w:p w:rsidR="000A5312" w:rsidRPr="00727D5B" w:rsidRDefault="001E2775" w:rsidP="001E2775">
      <w:pPr>
        <w:ind w:firstLine="1418"/>
        <w:jc w:val="both"/>
        <w:rPr>
          <w:szCs w:val="24"/>
        </w:rPr>
      </w:pPr>
      <w:r w:rsidRPr="004344A9">
        <w:rPr>
          <w:szCs w:val="24"/>
        </w:rPr>
        <w:t>Na oportunidade, renovo a Vossa Excelência e aos seus ilustres pares meus protestos de consideração e apreço</w:t>
      </w:r>
      <w:r w:rsidR="000A5312" w:rsidRPr="00727D5B">
        <w:rPr>
          <w:szCs w:val="24"/>
        </w:rPr>
        <w:t>.</w:t>
      </w:r>
    </w:p>
    <w:p w:rsidR="000A5312" w:rsidRPr="00727D5B" w:rsidRDefault="000A5312" w:rsidP="000A5312">
      <w:pPr>
        <w:ind w:firstLine="1418"/>
        <w:jc w:val="both"/>
        <w:rPr>
          <w:szCs w:val="24"/>
        </w:rPr>
      </w:pPr>
    </w:p>
    <w:p w:rsidR="000A5312" w:rsidRPr="00727D5B" w:rsidRDefault="000A5312" w:rsidP="000A5312">
      <w:pPr>
        <w:ind w:firstLine="1418"/>
        <w:jc w:val="both"/>
        <w:rPr>
          <w:szCs w:val="24"/>
        </w:rPr>
      </w:pPr>
      <w:r w:rsidRPr="00727D5B">
        <w:rPr>
          <w:szCs w:val="24"/>
        </w:rPr>
        <w:t>Atenciosamente,</w:t>
      </w:r>
    </w:p>
    <w:p w:rsidR="000A5312" w:rsidRDefault="000A5312" w:rsidP="00347C5C">
      <w:pPr>
        <w:ind w:firstLine="1418"/>
        <w:jc w:val="center"/>
        <w:rPr>
          <w:szCs w:val="24"/>
        </w:rPr>
      </w:pPr>
    </w:p>
    <w:p w:rsidR="00347C5C" w:rsidRPr="00727D5B" w:rsidRDefault="00347C5C" w:rsidP="00347C5C">
      <w:pPr>
        <w:ind w:firstLine="1418"/>
        <w:jc w:val="center"/>
        <w:rPr>
          <w:szCs w:val="24"/>
        </w:rPr>
      </w:pPr>
    </w:p>
    <w:p w:rsidR="000A5312" w:rsidRPr="00727D5B" w:rsidRDefault="000A5312" w:rsidP="00347C5C">
      <w:pPr>
        <w:ind w:firstLine="1418"/>
        <w:jc w:val="center"/>
        <w:rPr>
          <w:szCs w:val="24"/>
        </w:rPr>
      </w:pPr>
    </w:p>
    <w:p w:rsidR="000A5312" w:rsidRPr="00727D5B" w:rsidRDefault="000A5312" w:rsidP="000A5312">
      <w:pPr>
        <w:jc w:val="center"/>
        <w:rPr>
          <w:szCs w:val="24"/>
        </w:rPr>
      </w:pPr>
      <w:r w:rsidRPr="00727D5B">
        <w:rPr>
          <w:szCs w:val="24"/>
        </w:rPr>
        <w:t>FLÁVIO DINO</w:t>
      </w:r>
    </w:p>
    <w:p w:rsidR="000A5312" w:rsidRPr="00727D5B" w:rsidRDefault="000A5312" w:rsidP="000A5312">
      <w:pPr>
        <w:jc w:val="center"/>
        <w:rPr>
          <w:szCs w:val="24"/>
        </w:rPr>
      </w:pPr>
      <w:r w:rsidRPr="00727D5B">
        <w:rPr>
          <w:szCs w:val="24"/>
        </w:rPr>
        <w:t>Governador do Estado do Maranhão</w:t>
      </w:r>
    </w:p>
    <w:p w:rsidR="000A5312" w:rsidRPr="00727D5B" w:rsidRDefault="000A5312" w:rsidP="000A5312">
      <w:pPr>
        <w:ind w:firstLine="1701"/>
        <w:jc w:val="both"/>
        <w:rPr>
          <w:szCs w:val="24"/>
        </w:rPr>
      </w:pPr>
    </w:p>
    <w:p w:rsidR="000A5312" w:rsidRDefault="000A5312" w:rsidP="000A5312">
      <w:pPr>
        <w:ind w:firstLine="1701"/>
        <w:jc w:val="both"/>
        <w:rPr>
          <w:szCs w:val="24"/>
        </w:rPr>
      </w:pPr>
    </w:p>
    <w:p w:rsidR="000A5312" w:rsidRDefault="000A5312" w:rsidP="000A5312">
      <w:pPr>
        <w:ind w:firstLine="1701"/>
        <w:jc w:val="both"/>
        <w:rPr>
          <w:szCs w:val="24"/>
        </w:rPr>
      </w:pPr>
    </w:p>
    <w:p w:rsidR="000A5312" w:rsidRDefault="000A5312" w:rsidP="000A5312">
      <w:pPr>
        <w:ind w:firstLine="1701"/>
        <w:jc w:val="both"/>
        <w:rPr>
          <w:szCs w:val="24"/>
        </w:rPr>
      </w:pPr>
    </w:p>
    <w:p w:rsidR="000A5312" w:rsidRDefault="000A5312" w:rsidP="000A5312">
      <w:pPr>
        <w:ind w:firstLine="1701"/>
        <w:jc w:val="both"/>
        <w:rPr>
          <w:szCs w:val="24"/>
        </w:rPr>
      </w:pPr>
    </w:p>
    <w:p w:rsidR="000A5312" w:rsidRDefault="000A5312" w:rsidP="000A5312">
      <w:pPr>
        <w:ind w:firstLine="1701"/>
        <w:jc w:val="both"/>
        <w:rPr>
          <w:szCs w:val="24"/>
        </w:rPr>
      </w:pPr>
    </w:p>
    <w:p w:rsidR="000A5312" w:rsidRDefault="000A5312" w:rsidP="00727003">
      <w:pPr>
        <w:jc w:val="both"/>
        <w:rPr>
          <w:szCs w:val="24"/>
        </w:rPr>
      </w:pPr>
    </w:p>
    <w:p w:rsidR="000A5312" w:rsidRDefault="000A5312" w:rsidP="000A5312">
      <w:pPr>
        <w:jc w:val="both"/>
        <w:rPr>
          <w:szCs w:val="24"/>
        </w:rPr>
      </w:pPr>
    </w:p>
    <w:p w:rsidR="002A67AC" w:rsidRDefault="002A67AC" w:rsidP="000A5312">
      <w:pPr>
        <w:jc w:val="both"/>
        <w:rPr>
          <w:szCs w:val="24"/>
        </w:rPr>
      </w:pPr>
    </w:p>
    <w:p w:rsidR="000A5312" w:rsidRPr="00727D5B" w:rsidRDefault="000A5312" w:rsidP="000A5312">
      <w:pPr>
        <w:jc w:val="both"/>
        <w:rPr>
          <w:szCs w:val="24"/>
        </w:rPr>
      </w:pPr>
      <w:r w:rsidRPr="00727D5B">
        <w:rPr>
          <w:szCs w:val="24"/>
        </w:rPr>
        <w:t>À Sua Excelência o Senhor</w:t>
      </w:r>
    </w:p>
    <w:p w:rsidR="000A5312" w:rsidRPr="00727D5B" w:rsidRDefault="000A5312" w:rsidP="000A5312">
      <w:pPr>
        <w:jc w:val="both"/>
        <w:rPr>
          <w:szCs w:val="24"/>
        </w:rPr>
      </w:pPr>
      <w:r w:rsidRPr="00727D5B">
        <w:rPr>
          <w:szCs w:val="24"/>
        </w:rPr>
        <w:t xml:space="preserve">Deputado Estadual </w:t>
      </w:r>
      <w:r w:rsidRPr="00A93896">
        <w:rPr>
          <w:szCs w:val="24"/>
        </w:rPr>
        <w:t>OTHELINO NETO</w:t>
      </w:r>
    </w:p>
    <w:p w:rsidR="000A5312" w:rsidRPr="00727D5B" w:rsidRDefault="000A5312" w:rsidP="000A5312">
      <w:pPr>
        <w:jc w:val="both"/>
        <w:rPr>
          <w:szCs w:val="24"/>
        </w:rPr>
      </w:pPr>
      <w:r w:rsidRPr="00727D5B">
        <w:rPr>
          <w:szCs w:val="24"/>
        </w:rPr>
        <w:t>Presidente da Assembleia Legislativa do Estado do Maranhão</w:t>
      </w:r>
    </w:p>
    <w:p w:rsidR="000A5312" w:rsidRPr="00727D5B" w:rsidRDefault="000A5312" w:rsidP="000A5312">
      <w:pPr>
        <w:jc w:val="both"/>
        <w:rPr>
          <w:szCs w:val="24"/>
        </w:rPr>
      </w:pPr>
      <w:r w:rsidRPr="00727D5B">
        <w:rPr>
          <w:szCs w:val="24"/>
        </w:rPr>
        <w:t>Palácio Manuel Beckman</w:t>
      </w:r>
    </w:p>
    <w:p w:rsidR="002A67AC" w:rsidRDefault="000A5312" w:rsidP="002A67AC">
      <w:pPr>
        <w:jc w:val="both"/>
        <w:rPr>
          <w:szCs w:val="24"/>
        </w:rPr>
      </w:pPr>
      <w:r w:rsidRPr="00727D5B">
        <w:rPr>
          <w:szCs w:val="24"/>
        </w:rPr>
        <w:t>Local</w:t>
      </w:r>
      <w:r w:rsidR="002A67AC">
        <w:rPr>
          <w:szCs w:val="24"/>
        </w:rPr>
        <w:br w:type="page"/>
      </w:r>
    </w:p>
    <w:p w:rsidR="000A5312" w:rsidRPr="00727D5B" w:rsidRDefault="001E2775" w:rsidP="002A67AC">
      <w:pPr>
        <w:ind w:left="5670"/>
        <w:jc w:val="both"/>
        <w:rPr>
          <w:szCs w:val="24"/>
        </w:rPr>
      </w:pPr>
      <w:r w:rsidRPr="004344A9">
        <w:rPr>
          <w:szCs w:val="24"/>
        </w:rPr>
        <w:lastRenderedPageBreak/>
        <w:t>Veto integral ao Projeto de Lei nº 0</w:t>
      </w:r>
      <w:r>
        <w:rPr>
          <w:szCs w:val="24"/>
        </w:rPr>
        <w:t>39</w:t>
      </w:r>
      <w:r w:rsidRPr="004344A9">
        <w:rPr>
          <w:szCs w:val="24"/>
        </w:rPr>
        <w:t>/20</w:t>
      </w:r>
      <w:r>
        <w:rPr>
          <w:szCs w:val="24"/>
        </w:rPr>
        <w:t>21</w:t>
      </w:r>
      <w:r w:rsidRPr="004344A9">
        <w:rPr>
          <w:szCs w:val="24"/>
        </w:rPr>
        <w:t xml:space="preserve">, que </w:t>
      </w:r>
      <w:r>
        <w:rPr>
          <w:szCs w:val="24"/>
        </w:rPr>
        <w:t xml:space="preserve">dispõe </w:t>
      </w:r>
      <w:bookmarkStart w:id="0" w:name="_Hlk71908709"/>
      <w:r>
        <w:rPr>
          <w:szCs w:val="24"/>
        </w:rPr>
        <w:t>sobre a Garantia do Acesso à Informação, com a Transparência, na Internet, da Listagem de pacientes que aguardam por consultas, exames e intervenções cirúrgicas da rede pública de saúde do Estado do Maranhão</w:t>
      </w:r>
      <w:r w:rsidR="000A5312">
        <w:rPr>
          <w:szCs w:val="24"/>
        </w:rPr>
        <w:t>.</w:t>
      </w:r>
      <w:bookmarkEnd w:id="0"/>
    </w:p>
    <w:p w:rsidR="000A5312" w:rsidRDefault="000A5312" w:rsidP="000A5312">
      <w:pPr>
        <w:ind w:left="4248" w:firstLine="5"/>
        <w:jc w:val="both"/>
        <w:rPr>
          <w:szCs w:val="24"/>
        </w:rPr>
      </w:pPr>
    </w:p>
    <w:p w:rsidR="000A5312" w:rsidRPr="00727D5B" w:rsidRDefault="001E2775" w:rsidP="000A5312">
      <w:pPr>
        <w:ind w:firstLine="1418"/>
        <w:jc w:val="both"/>
        <w:rPr>
          <w:szCs w:val="24"/>
        </w:rPr>
      </w:pPr>
      <w:r w:rsidRPr="004344A9">
        <w:rPr>
          <w:szCs w:val="24"/>
        </w:rPr>
        <w:t xml:space="preserve">No uso das atribuições que me conferem os arts. 47, </w:t>
      </w:r>
      <w:r w:rsidRPr="004344A9">
        <w:rPr>
          <w:i/>
          <w:szCs w:val="24"/>
        </w:rPr>
        <w:t>caput</w:t>
      </w:r>
      <w:r w:rsidRPr="004344A9">
        <w:rPr>
          <w:szCs w:val="24"/>
        </w:rPr>
        <w:t>, e 64, IV, da Constituição Estadual, oponho veto total ao Projeto de Lei nº 0</w:t>
      </w:r>
      <w:r>
        <w:rPr>
          <w:szCs w:val="24"/>
        </w:rPr>
        <w:t>39</w:t>
      </w:r>
      <w:r w:rsidRPr="004344A9">
        <w:rPr>
          <w:szCs w:val="24"/>
        </w:rPr>
        <w:t>/20</w:t>
      </w:r>
      <w:r>
        <w:rPr>
          <w:szCs w:val="24"/>
        </w:rPr>
        <w:t>21</w:t>
      </w:r>
      <w:r w:rsidR="000A5312" w:rsidRPr="00727D5B">
        <w:rPr>
          <w:szCs w:val="24"/>
        </w:rPr>
        <w:t>.</w:t>
      </w:r>
    </w:p>
    <w:p w:rsidR="000A5312" w:rsidRPr="00727D5B" w:rsidRDefault="000A5312" w:rsidP="000A5312">
      <w:pPr>
        <w:ind w:firstLine="1418"/>
        <w:jc w:val="both"/>
        <w:rPr>
          <w:szCs w:val="24"/>
        </w:rPr>
      </w:pPr>
    </w:p>
    <w:p w:rsidR="000A5312" w:rsidRPr="00727D5B" w:rsidRDefault="000A5312" w:rsidP="000A5312">
      <w:pPr>
        <w:jc w:val="center"/>
        <w:rPr>
          <w:b/>
          <w:szCs w:val="24"/>
        </w:rPr>
      </w:pPr>
      <w:r w:rsidRPr="00727D5B">
        <w:rPr>
          <w:b/>
          <w:szCs w:val="24"/>
        </w:rPr>
        <w:t>RAZÕES DO VETO</w:t>
      </w:r>
    </w:p>
    <w:p w:rsidR="000A5312" w:rsidRPr="00821320" w:rsidRDefault="000A5312" w:rsidP="00821320">
      <w:pPr>
        <w:ind w:firstLine="1418"/>
        <w:jc w:val="both"/>
        <w:rPr>
          <w:szCs w:val="24"/>
        </w:rPr>
      </w:pPr>
    </w:p>
    <w:p w:rsidR="001E2775" w:rsidRDefault="001E2775" w:rsidP="001E2775">
      <w:pPr>
        <w:ind w:firstLine="1418"/>
        <w:jc w:val="both"/>
        <w:rPr>
          <w:szCs w:val="24"/>
        </w:rPr>
      </w:pPr>
      <w:r w:rsidRPr="004344A9">
        <w:rPr>
          <w:szCs w:val="24"/>
        </w:rPr>
        <w:t xml:space="preserve">A presente proposta, em linhas gerais, </w:t>
      </w:r>
      <w:r>
        <w:rPr>
          <w:szCs w:val="24"/>
        </w:rPr>
        <w:t>objetiva garantir aos pacientes que estejam esperando consultas, exames, intervenções cirúrgicas e quaisquer outros procedimentos de saúde, oferecidos pelo SUS, no âmbito do Estado do Maranhão, acesso à informação da lista de inscritos para tratamento, discriminando a posição de cada um, bem como as datas de agendamento, devendo ser atualizadas à medida que forem efetivadas alterações.</w:t>
      </w:r>
    </w:p>
    <w:p w:rsidR="001E2775" w:rsidRDefault="001E2775" w:rsidP="001E2775">
      <w:pPr>
        <w:ind w:firstLine="1418"/>
        <w:jc w:val="both"/>
        <w:rPr>
          <w:szCs w:val="24"/>
        </w:rPr>
      </w:pPr>
    </w:p>
    <w:p w:rsidR="001E2775" w:rsidRPr="004344A9" w:rsidRDefault="001E2775" w:rsidP="001E2775">
      <w:pPr>
        <w:ind w:firstLine="1418"/>
        <w:jc w:val="both"/>
        <w:rPr>
          <w:szCs w:val="24"/>
        </w:rPr>
      </w:pPr>
      <w:r w:rsidRPr="004344A9">
        <w:rPr>
          <w:szCs w:val="24"/>
        </w:rPr>
        <w:t xml:space="preserve">Não obstante a relevância do Projeto de Lei nº </w:t>
      </w:r>
      <w:r>
        <w:rPr>
          <w:szCs w:val="24"/>
        </w:rPr>
        <w:t>039</w:t>
      </w:r>
      <w:r w:rsidRPr="004344A9">
        <w:rPr>
          <w:szCs w:val="24"/>
        </w:rPr>
        <w:t>/20</w:t>
      </w:r>
      <w:r>
        <w:rPr>
          <w:szCs w:val="24"/>
        </w:rPr>
        <w:t>21</w:t>
      </w:r>
      <w:r w:rsidRPr="004344A9">
        <w:rPr>
          <w:szCs w:val="24"/>
        </w:rPr>
        <w:t xml:space="preserve">, que visa </w:t>
      </w:r>
      <w:r>
        <w:rPr>
          <w:szCs w:val="24"/>
        </w:rPr>
        <w:t xml:space="preserve">dar maior transparência ao usuário dos serviços de saúde do SUS, bem como garantir publicidade da listagem nominal de espera de procedimentos dentro da rede estadual de saúde do Maranhão, </w:t>
      </w:r>
      <w:r w:rsidRPr="004344A9">
        <w:rPr>
          <w:szCs w:val="24"/>
        </w:rPr>
        <w:t>necessária é a oposição de veto integral a presente medida, pelas razões a seguir delineadas.</w:t>
      </w:r>
    </w:p>
    <w:p w:rsidR="001E2775" w:rsidRDefault="001E2775" w:rsidP="001E2775">
      <w:pPr>
        <w:ind w:firstLine="1418"/>
        <w:jc w:val="both"/>
        <w:rPr>
          <w:szCs w:val="24"/>
        </w:rPr>
      </w:pPr>
    </w:p>
    <w:p w:rsidR="001E2775" w:rsidRPr="004344A9" w:rsidRDefault="001E2775" w:rsidP="001E2775">
      <w:pPr>
        <w:ind w:firstLine="1418"/>
        <w:jc w:val="both"/>
        <w:rPr>
          <w:szCs w:val="24"/>
        </w:rPr>
      </w:pPr>
      <w:r w:rsidRPr="004344A9">
        <w:rPr>
          <w:szCs w:val="24"/>
        </w:rPr>
        <w:t>É consabido que a divisão constitucional das funções estatais, em razão do sistema de freios e contrapesos, não é estanque, de modo que é possível a instituição de mecanismos de controle recíprocos marcados pela interpenetração dos poderes a fim de combater atos eventualmente centralizadores e abusivos por parte de cada um deles.</w:t>
      </w:r>
    </w:p>
    <w:p w:rsidR="001E2775" w:rsidRPr="0012300E" w:rsidRDefault="001E2775" w:rsidP="001E2775">
      <w:pPr>
        <w:ind w:firstLine="1418"/>
        <w:jc w:val="both"/>
        <w:rPr>
          <w:szCs w:val="24"/>
        </w:rPr>
      </w:pPr>
    </w:p>
    <w:p w:rsidR="001E2775" w:rsidRPr="004344A9" w:rsidRDefault="001E2775" w:rsidP="001E2775">
      <w:pPr>
        <w:ind w:firstLine="1418"/>
        <w:jc w:val="both"/>
        <w:rPr>
          <w:szCs w:val="24"/>
        </w:rPr>
      </w:pPr>
      <w:r w:rsidRPr="004344A9">
        <w:rPr>
          <w:szCs w:val="24"/>
        </w:rPr>
        <w:t>Contudo, a Constituição da República estabeleceu um modelo de Estado no qual a interferência de um Poder sobre outro é exclusivamente autorizada nas hipóteses legalmente previstas, restando vedado ao Legislativo, em decorrência do Princípio da Reserva de Administração, intervir direta e concretamente em matérias inerentes à exclusiva competência administrativa do Poder Executivo.</w:t>
      </w:r>
    </w:p>
    <w:p w:rsidR="001E2775" w:rsidRPr="0012300E" w:rsidRDefault="001E2775" w:rsidP="001E2775">
      <w:pPr>
        <w:ind w:firstLine="1418"/>
        <w:jc w:val="both"/>
        <w:rPr>
          <w:szCs w:val="24"/>
        </w:rPr>
      </w:pPr>
    </w:p>
    <w:p w:rsidR="001E2775" w:rsidRDefault="001E2775" w:rsidP="001E2775">
      <w:pPr>
        <w:tabs>
          <w:tab w:val="left" w:pos="426"/>
          <w:tab w:val="left" w:pos="7820"/>
        </w:tabs>
        <w:ind w:firstLine="1418"/>
        <w:jc w:val="both"/>
        <w:rPr>
          <w:szCs w:val="24"/>
        </w:rPr>
      </w:pPr>
      <w:r w:rsidRPr="00A24FAB">
        <w:rPr>
          <w:szCs w:val="24"/>
        </w:rPr>
        <w:t xml:space="preserve">O princípio constitucional da reserva de administração constitui </w:t>
      </w:r>
      <w:r w:rsidRPr="00A24FAB">
        <w:rPr>
          <w:b/>
          <w:szCs w:val="24"/>
        </w:rPr>
        <w:t>limite material</w:t>
      </w:r>
      <w:r w:rsidRPr="00A24FAB">
        <w:rPr>
          <w:szCs w:val="24"/>
        </w:rPr>
        <w:t xml:space="preserve"> à intervenção normativa do Poder Legislativo, pois, como princípio fundado na separação orgânica e na especialização funcional das instituições do Estado, </w:t>
      </w:r>
      <w:r w:rsidRPr="00A24FAB">
        <w:rPr>
          <w:b/>
          <w:szCs w:val="24"/>
        </w:rPr>
        <w:t>caracteriza-se</w:t>
      </w:r>
      <w:r w:rsidRPr="00A24FAB">
        <w:rPr>
          <w:szCs w:val="24"/>
        </w:rPr>
        <w:t xml:space="preserve">, no sistema constitucional, </w:t>
      </w:r>
      <w:r w:rsidRPr="00A24FAB">
        <w:rPr>
          <w:b/>
          <w:szCs w:val="24"/>
        </w:rPr>
        <w:t>pela identificação de um conjunto de reservas funcionais específicas do Governo e insuscetíveis de “expropriação” por parte do Parlamento</w:t>
      </w:r>
      <w:r w:rsidRPr="00A24FAB">
        <w:rPr>
          <w:rStyle w:val="Refdenotaderodap"/>
          <w:b/>
          <w:szCs w:val="24"/>
        </w:rPr>
        <w:footnoteReference w:id="1"/>
      </w:r>
      <w:r w:rsidRPr="00A24FAB">
        <w:rPr>
          <w:szCs w:val="24"/>
        </w:rPr>
        <w:t>.</w:t>
      </w:r>
    </w:p>
    <w:p w:rsidR="00B14EF9" w:rsidRDefault="00B14EF9" w:rsidP="001E2775">
      <w:pPr>
        <w:ind w:firstLine="1418"/>
        <w:jc w:val="both"/>
        <w:rPr>
          <w:szCs w:val="24"/>
        </w:rPr>
      </w:pPr>
    </w:p>
    <w:p w:rsidR="001E2775" w:rsidRPr="004344A9" w:rsidRDefault="001E2775" w:rsidP="001E2775">
      <w:pPr>
        <w:ind w:firstLine="1418"/>
        <w:jc w:val="both"/>
        <w:rPr>
          <w:szCs w:val="24"/>
        </w:rPr>
      </w:pPr>
      <w:r w:rsidRPr="004344A9">
        <w:rPr>
          <w:szCs w:val="24"/>
        </w:rPr>
        <w:lastRenderedPageBreak/>
        <w:t xml:space="preserve">Assim, não cabe ao Poder Legislativo Estadual, sob pena de usurpar a competência legislativa do Poder Executivo e infringir o Princípio da Separação dos Poderes (art. 2º da Constituição Federal e art. 6º da Carta Estadual) e o postulado constitucional da reserva da </w:t>
      </w:r>
      <w:r>
        <w:rPr>
          <w:szCs w:val="24"/>
        </w:rPr>
        <w:t>a</w:t>
      </w:r>
      <w:r w:rsidRPr="004344A9">
        <w:rPr>
          <w:szCs w:val="24"/>
        </w:rPr>
        <w:t xml:space="preserve">dministração, disciplinar matérias afetas à própria </w:t>
      </w:r>
      <w:r w:rsidRPr="004344A9">
        <w:rPr>
          <w:b/>
          <w:szCs w:val="24"/>
        </w:rPr>
        <w:t>gestão de políticas públicas</w:t>
      </w:r>
      <w:r w:rsidRPr="004344A9">
        <w:rPr>
          <w:szCs w:val="24"/>
        </w:rPr>
        <w:t xml:space="preserve">, versando sobre </w:t>
      </w:r>
      <w:r w:rsidRPr="004344A9">
        <w:rPr>
          <w:b/>
          <w:szCs w:val="24"/>
        </w:rPr>
        <w:t>organização administrativa</w:t>
      </w:r>
      <w:r>
        <w:rPr>
          <w:szCs w:val="24"/>
        </w:rPr>
        <w:t>,</w:t>
      </w:r>
      <w:r w:rsidRPr="004344A9">
        <w:rPr>
          <w:szCs w:val="24"/>
        </w:rPr>
        <w:t xml:space="preserve"> </w:t>
      </w:r>
      <w:r w:rsidRPr="004344A9">
        <w:rPr>
          <w:b/>
          <w:szCs w:val="24"/>
        </w:rPr>
        <w:t>estruturação e atribuições das Secretarias de Estado ou órgãos equivalentes</w:t>
      </w:r>
      <w:r w:rsidRPr="004344A9">
        <w:rPr>
          <w:szCs w:val="24"/>
        </w:rPr>
        <w:t xml:space="preserve">. </w:t>
      </w:r>
    </w:p>
    <w:p w:rsidR="001E2775" w:rsidRPr="004344A9" w:rsidRDefault="001E2775" w:rsidP="001E2775">
      <w:pPr>
        <w:ind w:firstLine="1418"/>
        <w:jc w:val="both"/>
        <w:rPr>
          <w:szCs w:val="24"/>
        </w:rPr>
      </w:pPr>
    </w:p>
    <w:p w:rsidR="001E2775" w:rsidRPr="004344A9" w:rsidRDefault="001E2775" w:rsidP="001E2775">
      <w:pPr>
        <w:ind w:firstLine="1418"/>
        <w:jc w:val="both"/>
        <w:rPr>
          <w:szCs w:val="24"/>
        </w:rPr>
      </w:pPr>
      <w:r w:rsidRPr="004344A9">
        <w:rPr>
          <w:szCs w:val="24"/>
        </w:rPr>
        <w:t>Matérias essas que, nos termos do art. 43, incisos III e IV, da Constituição Estadual, são de competência privativa do Governador do Estado. Veja-se:</w:t>
      </w:r>
    </w:p>
    <w:p w:rsidR="001E2775" w:rsidRPr="004344A9" w:rsidRDefault="001E2775" w:rsidP="001E2775">
      <w:pPr>
        <w:ind w:firstLine="1418"/>
        <w:jc w:val="both"/>
        <w:rPr>
          <w:sz w:val="22"/>
          <w:szCs w:val="22"/>
        </w:rPr>
      </w:pPr>
    </w:p>
    <w:p w:rsidR="001E2775" w:rsidRPr="00793815" w:rsidRDefault="001E2775" w:rsidP="00B71B0B">
      <w:pPr>
        <w:ind w:left="3402"/>
        <w:jc w:val="both"/>
        <w:rPr>
          <w:sz w:val="20"/>
          <w:szCs w:val="22"/>
        </w:rPr>
      </w:pPr>
      <w:r w:rsidRPr="00793815">
        <w:rPr>
          <w:b/>
          <w:sz w:val="20"/>
          <w:szCs w:val="22"/>
        </w:rPr>
        <w:t>Art. 43.  </w:t>
      </w:r>
      <w:r w:rsidRPr="00793815">
        <w:rPr>
          <w:sz w:val="20"/>
          <w:szCs w:val="22"/>
        </w:rPr>
        <w:t>São de</w:t>
      </w:r>
      <w:r w:rsidRPr="00793815">
        <w:rPr>
          <w:b/>
          <w:sz w:val="20"/>
          <w:szCs w:val="22"/>
        </w:rPr>
        <w:t xml:space="preserve"> iniciativa privativa do Governador do Estado </w:t>
      </w:r>
      <w:r w:rsidRPr="00793815">
        <w:rPr>
          <w:sz w:val="20"/>
          <w:szCs w:val="22"/>
        </w:rPr>
        <w:t>às leis que disponham sobre:</w:t>
      </w:r>
    </w:p>
    <w:p w:rsidR="001E2775" w:rsidRPr="00793815" w:rsidRDefault="001E2775" w:rsidP="00B71B0B">
      <w:pPr>
        <w:ind w:left="3402"/>
        <w:jc w:val="both"/>
        <w:rPr>
          <w:sz w:val="20"/>
          <w:szCs w:val="22"/>
        </w:rPr>
      </w:pPr>
    </w:p>
    <w:p w:rsidR="001E2775" w:rsidRPr="00793815" w:rsidRDefault="001E2775" w:rsidP="00B71B0B">
      <w:pPr>
        <w:ind w:left="3402"/>
        <w:jc w:val="both"/>
        <w:rPr>
          <w:sz w:val="20"/>
          <w:szCs w:val="22"/>
        </w:rPr>
      </w:pPr>
      <w:r w:rsidRPr="00793815">
        <w:rPr>
          <w:sz w:val="20"/>
          <w:szCs w:val="22"/>
        </w:rPr>
        <w:t>[...]</w:t>
      </w:r>
    </w:p>
    <w:p w:rsidR="001E2775" w:rsidRPr="00793815" w:rsidRDefault="001E2775" w:rsidP="00B71B0B">
      <w:pPr>
        <w:ind w:left="3402"/>
        <w:jc w:val="both"/>
        <w:rPr>
          <w:sz w:val="20"/>
          <w:szCs w:val="22"/>
        </w:rPr>
      </w:pPr>
    </w:p>
    <w:p w:rsidR="001E2775" w:rsidRPr="008B18AE" w:rsidRDefault="001E2775" w:rsidP="00B71B0B">
      <w:pPr>
        <w:ind w:left="3402"/>
        <w:jc w:val="both"/>
        <w:rPr>
          <w:sz w:val="20"/>
          <w:szCs w:val="22"/>
        </w:rPr>
      </w:pPr>
      <w:r w:rsidRPr="00793815">
        <w:rPr>
          <w:b/>
          <w:sz w:val="20"/>
          <w:szCs w:val="22"/>
          <w:u w:val="single"/>
        </w:rPr>
        <w:t xml:space="preserve">III - organização </w:t>
      </w:r>
      <w:r w:rsidRPr="009260BC">
        <w:rPr>
          <w:b/>
          <w:sz w:val="20"/>
          <w:szCs w:val="22"/>
          <w:u w:val="single"/>
        </w:rPr>
        <w:t>administrativa e matéria orçamentária</w:t>
      </w:r>
      <w:r w:rsidRPr="008B18AE">
        <w:rPr>
          <w:sz w:val="20"/>
          <w:szCs w:val="22"/>
        </w:rPr>
        <w:t>;</w:t>
      </w:r>
    </w:p>
    <w:p w:rsidR="001E2775" w:rsidRPr="008B18AE" w:rsidRDefault="001E2775" w:rsidP="00B71B0B">
      <w:pPr>
        <w:ind w:left="3402"/>
        <w:jc w:val="both"/>
        <w:rPr>
          <w:sz w:val="20"/>
          <w:szCs w:val="22"/>
        </w:rPr>
      </w:pPr>
      <w:r w:rsidRPr="008B18AE">
        <w:rPr>
          <w:sz w:val="20"/>
          <w:szCs w:val="22"/>
        </w:rPr>
        <w:t>[...]</w:t>
      </w:r>
    </w:p>
    <w:p w:rsidR="001E2775" w:rsidRPr="00793815" w:rsidRDefault="001E2775" w:rsidP="00B71B0B">
      <w:pPr>
        <w:ind w:left="3402"/>
        <w:jc w:val="both"/>
        <w:rPr>
          <w:sz w:val="20"/>
          <w:szCs w:val="22"/>
        </w:rPr>
      </w:pPr>
    </w:p>
    <w:p w:rsidR="001E2775" w:rsidRPr="00793815" w:rsidRDefault="001E2775" w:rsidP="00B71B0B">
      <w:pPr>
        <w:ind w:left="3402"/>
        <w:jc w:val="both"/>
        <w:rPr>
          <w:sz w:val="20"/>
          <w:szCs w:val="22"/>
        </w:rPr>
      </w:pPr>
      <w:r w:rsidRPr="00793815">
        <w:rPr>
          <w:sz w:val="20"/>
          <w:szCs w:val="22"/>
        </w:rPr>
        <w:t>V - </w:t>
      </w:r>
      <w:r w:rsidRPr="008B18AE">
        <w:rPr>
          <w:sz w:val="20"/>
          <w:szCs w:val="22"/>
        </w:rPr>
        <w:t>criação</w:t>
      </w:r>
      <w:r w:rsidRPr="00793815">
        <w:rPr>
          <w:sz w:val="20"/>
          <w:szCs w:val="22"/>
        </w:rPr>
        <w:t xml:space="preserve">, </w:t>
      </w:r>
      <w:r w:rsidRPr="00793815">
        <w:rPr>
          <w:b/>
          <w:sz w:val="20"/>
          <w:szCs w:val="22"/>
          <w:u w:val="single"/>
        </w:rPr>
        <w:t>estruturação</w:t>
      </w:r>
      <w:r w:rsidRPr="00793815">
        <w:rPr>
          <w:sz w:val="20"/>
          <w:szCs w:val="22"/>
        </w:rPr>
        <w:t xml:space="preserve"> e </w:t>
      </w:r>
      <w:r w:rsidRPr="00793815">
        <w:rPr>
          <w:b/>
          <w:sz w:val="20"/>
          <w:szCs w:val="22"/>
          <w:u w:val="single"/>
        </w:rPr>
        <w:t>atribuições</w:t>
      </w:r>
      <w:r w:rsidRPr="00793815">
        <w:rPr>
          <w:sz w:val="20"/>
          <w:szCs w:val="22"/>
        </w:rPr>
        <w:t xml:space="preserve"> das </w:t>
      </w:r>
      <w:r w:rsidRPr="00793815">
        <w:rPr>
          <w:b/>
          <w:sz w:val="20"/>
          <w:szCs w:val="22"/>
          <w:u w:val="single"/>
        </w:rPr>
        <w:t>Secretarias</w:t>
      </w:r>
      <w:r w:rsidRPr="00793815">
        <w:rPr>
          <w:sz w:val="20"/>
          <w:szCs w:val="22"/>
        </w:rPr>
        <w:t xml:space="preserve"> de Estado </w:t>
      </w:r>
      <w:r w:rsidRPr="00793815">
        <w:rPr>
          <w:b/>
          <w:sz w:val="20"/>
          <w:szCs w:val="22"/>
        </w:rPr>
        <w:t xml:space="preserve">ou </w:t>
      </w:r>
      <w:r w:rsidRPr="00793815">
        <w:rPr>
          <w:b/>
          <w:sz w:val="20"/>
          <w:szCs w:val="22"/>
          <w:u w:val="single"/>
        </w:rPr>
        <w:t>órgãos</w:t>
      </w:r>
      <w:r>
        <w:rPr>
          <w:b/>
          <w:sz w:val="20"/>
          <w:szCs w:val="22"/>
          <w:u w:val="single"/>
        </w:rPr>
        <w:t xml:space="preserve"> </w:t>
      </w:r>
      <w:r w:rsidRPr="00793815">
        <w:rPr>
          <w:b/>
          <w:sz w:val="20"/>
          <w:szCs w:val="22"/>
          <w:u w:val="single"/>
        </w:rPr>
        <w:t>equivalentes e outros órgãos da administração pública estadual</w:t>
      </w:r>
      <w:r w:rsidRPr="00793815">
        <w:rPr>
          <w:sz w:val="20"/>
          <w:szCs w:val="22"/>
        </w:rPr>
        <w:t>.</w:t>
      </w:r>
    </w:p>
    <w:p w:rsidR="001E2775" w:rsidRPr="00793815" w:rsidRDefault="001E2775" w:rsidP="00B71B0B">
      <w:pPr>
        <w:ind w:left="3402"/>
        <w:jc w:val="both"/>
        <w:rPr>
          <w:sz w:val="20"/>
          <w:szCs w:val="22"/>
        </w:rPr>
      </w:pPr>
    </w:p>
    <w:p w:rsidR="001E2775" w:rsidRPr="00793815" w:rsidRDefault="001E2775" w:rsidP="00B71B0B">
      <w:pPr>
        <w:ind w:left="3402"/>
        <w:jc w:val="both"/>
        <w:rPr>
          <w:sz w:val="20"/>
          <w:szCs w:val="22"/>
        </w:rPr>
      </w:pPr>
      <w:r w:rsidRPr="00793815">
        <w:rPr>
          <w:sz w:val="20"/>
          <w:szCs w:val="22"/>
        </w:rPr>
        <w:t>[grifo nosso]</w:t>
      </w:r>
    </w:p>
    <w:p w:rsidR="001E2775" w:rsidRPr="004344A9" w:rsidRDefault="001E2775" w:rsidP="001E2775">
      <w:pPr>
        <w:ind w:firstLine="1418"/>
        <w:jc w:val="both"/>
        <w:rPr>
          <w:szCs w:val="24"/>
        </w:rPr>
      </w:pPr>
    </w:p>
    <w:p w:rsidR="000C696C" w:rsidRDefault="000C696C" w:rsidP="001E2775">
      <w:pPr>
        <w:ind w:firstLine="1418"/>
        <w:jc w:val="both"/>
        <w:rPr>
          <w:szCs w:val="24"/>
        </w:rPr>
      </w:pPr>
      <w:r>
        <w:rPr>
          <w:szCs w:val="24"/>
        </w:rPr>
        <w:t>Como dito anteriormente, pretende</w:t>
      </w:r>
      <w:r w:rsidR="001E2775">
        <w:rPr>
          <w:szCs w:val="24"/>
        </w:rPr>
        <w:t xml:space="preserve"> a propositura, com o objetivo d</w:t>
      </w:r>
      <w:r w:rsidR="00404F9C">
        <w:rPr>
          <w:szCs w:val="24"/>
        </w:rPr>
        <w:t>e</w:t>
      </w:r>
      <w:r w:rsidR="001E2775">
        <w:rPr>
          <w:szCs w:val="24"/>
        </w:rPr>
        <w:t xml:space="preserve"> dar maior transparência, reunir, em listas de inscritos para tratamento, </w:t>
      </w:r>
      <w:r w:rsidR="001E2775" w:rsidRPr="00353D11">
        <w:rPr>
          <w:b/>
          <w:szCs w:val="24"/>
        </w:rPr>
        <w:t>todos os pacientes</w:t>
      </w:r>
      <w:r w:rsidR="001E2775">
        <w:rPr>
          <w:szCs w:val="24"/>
        </w:rPr>
        <w:t xml:space="preserve"> que estejam aguardando consultas, exames, cirurgias e quaisquer outros procedimentos de saúde de todo o </w:t>
      </w:r>
      <w:r w:rsidR="001E2775" w:rsidRPr="00353D11">
        <w:rPr>
          <w:b/>
          <w:szCs w:val="24"/>
        </w:rPr>
        <w:t>Sistema Único de Saúde do Estado do Maranhão</w:t>
      </w:r>
      <w:r w:rsidR="001E2775" w:rsidRPr="00353D11">
        <w:rPr>
          <w:szCs w:val="24"/>
        </w:rPr>
        <w:t>,</w:t>
      </w:r>
      <w:r w:rsidR="001E2775">
        <w:rPr>
          <w:szCs w:val="24"/>
        </w:rPr>
        <w:t xml:space="preserve"> inclusive as unidades conveniadas e demais prestadores que recebam recursos públicos</w:t>
      </w:r>
      <w:r>
        <w:rPr>
          <w:szCs w:val="24"/>
        </w:rPr>
        <w:t>.</w:t>
      </w:r>
    </w:p>
    <w:p w:rsidR="000C696C" w:rsidRDefault="000C696C" w:rsidP="001E2775">
      <w:pPr>
        <w:ind w:firstLine="1418"/>
        <w:jc w:val="both"/>
        <w:rPr>
          <w:szCs w:val="24"/>
        </w:rPr>
      </w:pPr>
    </w:p>
    <w:p w:rsidR="001E2775" w:rsidRDefault="007D454B" w:rsidP="001E2775">
      <w:pPr>
        <w:ind w:firstLine="1418"/>
        <w:jc w:val="both"/>
        <w:rPr>
          <w:b/>
          <w:bCs/>
          <w:szCs w:val="24"/>
        </w:rPr>
      </w:pPr>
      <w:r>
        <w:rPr>
          <w:szCs w:val="24"/>
        </w:rPr>
        <w:t>Todavia,</w:t>
      </w:r>
      <w:r w:rsidR="001E2775">
        <w:rPr>
          <w:szCs w:val="24"/>
        </w:rPr>
        <w:t xml:space="preserve"> o seu </w:t>
      </w:r>
      <w:r w:rsidR="001E2775">
        <w:rPr>
          <w:b/>
          <w:szCs w:val="24"/>
        </w:rPr>
        <w:t>art. 4</w:t>
      </w:r>
      <w:r w:rsidR="001E2775" w:rsidRPr="00377D03">
        <w:rPr>
          <w:b/>
          <w:szCs w:val="24"/>
        </w:rPr>
        <w:t>º</w:t>
      </w:r>
      <w:r w:rsidR="001E2775">
        <w:rPr>
          <w:b/>
          <w:szCs w:val="24"/>
        </w:rPr>
        <w:t xml:space="preserve"> </w:t>
      </w:r>
      <w:r w:rsidR="001E2775">
        <w:rPr>
          <w:szCs w:val="24"/>
        </w:rPr>
        <w:t xml:space="preserve">ao definir que a divulgação da ordem de espera seja realizada por meio de </w:t>
      </w:r>
      <w:r w:rsidR="001E2775" w:rsidRPr="007D454B">
        <w:rPr>
          <w:b/>
          <w:szCs w:val="24"/>
        </w:rPr>
        <w:t>sítio eletrônico oficial</w:t>
      </w:r>
      <w:r w:rsidR="001E2775" w:rsidRPr="007D454B">
        <w:rPr>
          <w:szCs w:val="24"/>
        </w:rPr>
        <w:t xml:space="preserve">, </w:t>
      </w:r>
      <w:r w:rsidR="000C696C" w:rsidRPr="007D454B">
        <w:rPr>
          <w:szCs w:val="24"/>
        </w:rPr>
        <w:t>e</w:t>
      </w:r>
      <w:r w:rsidR="001E2775" w:rsidRPr="007D454B">
        <w:rPr>
          <w:szCs w:val="24"/>
        </w:rPr>
        <w:t xml:space="preserve"> assegurar que essa consulta também seja disponibilizada de </w:t>
      </w:r>
      <w:r w:rsidR="001E2775" w:rsidRPr="007D454B">
        <w:rPr>
          <w:b/>
          <w:szCs w:val="24"/>
        </w:rPr>
        <w:t>forma presencial nas unidades de saúde</w:t>
      </w:r>
      <w:r w:rsidR="000C696C" w:rsidRPr="007D454B">
        <w:rPr>
          <w:szCs w:val="24"/>
        </w:rPr>
        <w:t xml:space="preserve">, indicando </w:t>
      </w:r>
      <w:r w:rsidR="001E2775" w:rsidRPr="007D454B">
        <w:rPr>
          <w:szCs w:val="24"/>
        </w:rPr>
        <w:t xml:space="preserve">outros meios como o previsto no </w:t>
      </w:r>
      <w:r w:rsidR="001E2775" w:rsidRPr="007D454B">
        <w:rPr>
          <w:b/>
          <w:szCs w:val="24"/>
        </w:rPr>
        <w:t>art. 5º</w:t>
      </w:r>
      <w:r w:rsidR="001E2775" w:rsidRPr="007D454B">
        <w:rPr>
          <w:szCs w:val="24"/>
        </w:rPr>
        <w:t xml:space="preserve"> que inclui </w:t>
      </w:r>
      <w:r w:rsidR="001E2775" w:rsidRPr="007D454B">
        <w:rPr>
          <w:b/>
          <w:szCs w:val="24"/>
        </w:rPr>
        <w:t>a consulta por telefone</w:t>
      </w:r>
      <w:r w:rsidR="001E2775" w:rsidRPr="007D454B">
        <w:rPr>
          <w:szCs w:val="24"/>
        </w:rPr>
        <w:t xml:space="preserve">, </w:t>
      </w:r>
      <w:bookmarkStart w:id="1" w:name="_Hlk68714843"/>
      <w:r w:rsidR="001E2775" w:rsidRPr="007D454B">
        <w:rPr>
          <w:b/>
          <w:bCs/>
          <w:szCs w:val="24"/>
        </w:rPr>
        <w:t xml:space="preserve">cria </w:t>
      </w:r>
      <w:r w:rsidRPr="007D454B">
        <w:rPr>
          <w:b/>
          <w:bCs/>
          <w:szCs w:val="24"/>
        </w:rPr>
        <w:t>atribuições para a Secretaria de Estado da Saúde, além de exigir a implantação de estruturas complementares</w:t>
      </w:r>
      <w:r>
        <w:rPr>
          <w:b/>
          <w:bCs/>
          <w:szCs w:val="24"/>
        </w:rPr>
        <w:t xml:space="preserve"> aos serviços de saúde hoje existentes. com isto, criando </w:t>
      </w:r>
      <w:r w:rsidR="001E2775" w:rsidRPr="00752105">
        <w:rPr>
          <w:b/>
          <w:bCs/>
          <w:szCs w:val="24"/>
        </w:rPr>
        <w:t>despesa</w:t>
      </w:r>
      <w:r w:rsidR="001E2775">
        <w:rPr>
          <w:b/>
          <w:bCs/>
          <w:szCs w:val="24"/>
        </w:rPr>
        <w:t xml:space="preserve">, </w:t>
      </w:r>
      <w:r w:rsidR="001E2775" w:rsidRPr="00752105">
        <w:rPr>
          <w:b/>
          <w:bCs/>
          <w:szCs w:val="24"/>
        </w:rPr>
        <w:t>sem</w:t>
      </w:r>
      <w:r w:rsidR="001E2775">
        <w:rPr>
          <w:b/>
          <w:bCs/>
          <w:szCs w:val="24"/>
        </w:rPr>
        <w:t>, todavia,</w:t>
      </w:r>
      <w:r w:rsidR="001E2775" w:rsidRPr="00752105">
        <w:rPr>
          <w:b/>
          <w:bCs/>
          <w:szCs w:val="24"/>
        </w:rPr>
        <w:t xml:space="preserve"> indicar a fonte de custeio e o impacto orçamentário e financeiro </w:t>
      </w:r>
      <w:bookmarkEnd w:id="1"/>
      <w:r w:rsidR="001E2775" w:rsidRPr="00752105">
        <w:rPr>
          <w:b/>
          <w:bCs/>
          <w:szCs w:val="24"/>
        </w:rPr>
        <w:t>dessa</w:t>
      </w:r>
      <w:r w:rsidR="001E2775">
        <w:rPr>
          <w:b/>
          <w:bCs/>
          <w:szCs w:val="24"/>
        </w:rPr>
        <w:t>s</w:t>
      </w:r>
      <w:r w:rsidR="001E2775" w:rsidRPr="00752105">
        <w:rPr>
          <w:b/>
          <w:bCs/>
          <w:szCs w:val="24"/>
        </w:rPr>
        <w:t xml:space="preserve"> resultante</w:t>
      </w:r>
      <w:r w:rsidR="001E2775">
        <w:rPr>
          <w:b/>
          <w:bCs/>
          <w:szCs w:val="24"/>
        </w:rPr>
        <w:t>s</w:t>
      </w:r>
      <w:r w:rsidR="001E2775" w:rsidRPr="00752105">
        <w:rPr>
          <w:b/>
          <w:bCs/>
          <w:szCs w:val="24"/>
        </w:rPr>
        <w:t>.</w:t>
      </w:r>
    </w:p>
    <w:p w:rsidR="001E2775" w:rsidRDefault="001E2775" w:rsidP="001E2775">
      <w:pPr>
        <w:ind w:firstLine="1418"/>
        <w:jc w:val="both"/>
        <w:rPr>
          <w:b/>
          <w:bCs/>
          <w:szCs w:val="24"/>
        </w:rPr>
      </w:pPr>
    </w:p>
    <w:p w:rsidR="001E2775" w:rsidRPr="004344A9" w:rsidRDefault="001E2775" w:rsidP="001E2775">
      <w:pPr>
        <w:ind w:firstLine="1418"/>
        <w:jc w:val="both"/>
        <w:rPr>
          <w:szCs w:val="24"/>
        </w:rPr>
      </w:pPr>
      <w:r w:rsidRPr="004344A9">
        <w:rPr>
          <w:szCs w:val="24"/>
        </w:rPr>
        <w:t>Acerca da impossibilidade de norma de iniciativa do Poder Legislativo versar sobre organização administrativa e sobre as atribuições de Secretarias de Estado, colhe</w:t>
      </w:r>
      <w:r>
        <w:rPr>
          <w:szCs w:val="24"/>
        </w:rPr>
        <w:t>m</w:t>
      </w:r>
      <w:r w:rsidRPr="004344A9">
        <w:rPr>
          <w:szCs w:val="24"/>
        </w:rPr>
        <w:t>-se o</w:t>
      </w:r>
      <w:r>
        <w:rPr>
          <w:szCs w:val="24"/>
        </w:rPr>
        <w:t>s</w:t>
      </w:r>
      <w:r w:rsidRPr="004344A9">
        <w:rPr>
          <w:szCs w:val="24"/>
        </w:rPr>
        <w:t xml:space="preserve"> seguinte</w:t>
      </w:r>
      <w:r>
        <w:rPr>
          <w:szCs w:val="24"/>
        </w:rPr>
        <w:t>s</w:t>
      </w:r>
      <w:r w:rsidRPr="004344A9">
        <w:rPr>
          <w:szCs w:val="24"/>
        </w:rPr>
        <w:t xml:space="preserve"> julgado</w:t>
      </w:r>
      <w:r>
        <w:rPr>
          <w:szCs w:val="24"/>
        </w:rPr>
        <w:t>s</w:t>
      </w:r>
      <w:r w:rsidRPr="004344A9">
        <w:rPr>
          <w:szCs w:val="24"/>
        </w:rPr>
        <w:t xml:space="preserve"> do Supremo Tribunal Federal:</w:t>
      </w:r>
    </w:p>
    <w:p w:rsidR="001E2775" w:rsidRPr="004344A9" w:rsidRDefault="001E2775" w:rsidP="001E2775">
      <w:pPr>
        <w:tabs>
          <w:tab w:val="right" w:pos="9072"/>
        </w:tabs>
        <w:ind w:right="-1" w:firstLine="1418"/>
        <w:jc w:val="both"/>
        <w:rPr>
          <w:color w:val="000000"/>
          <w:szCs w:val="24"/>
        </w:rPr>
      </w:pPr>
    </w:p>
    <w:p w:rsidR="001E2775" w:rsidRPr="00182C45" w:rsidRDefault="001E2775" w:rsidP="00C53808">
      <w:pPr>
        <w:tabs>
          <w:tab w:val="right" w:pos="9072"/>
        </w:tabs>
        <w:ind w:left="3402" w:right="-1"/>
        <w:jc w:val="both"/>
        <w:rPr>
          <w:color w:val="000000"/>
          <w:sz w:val="20"/>
        </w:rPr>
      </w:pPr>
      <w:r w:rsidRPr="004344A9">
        <w:rPr>
          <w:color w:val="000000"/>
          <w:szCs w:val="24"/>
        </w:rPr>
        <w:t>(</w:t>
      </w:r>
      <w:r w:rsidRPr="00182C45">
        <w:rPr>
          <w:color w:val="000000"/>
          <w:sz w:val="20"/>
        </w:rPr>
        <w:t>...) É firme a jurisprudência desta Corte orientada pelo</w:t>
      </w:r>
      <w:r w:rsidRPr="00182C45">
        <w:rPr>
          <w:b/>
          <w:bCs/>
          <w:color w:val="000000"/>
          <w:sz w:val="20"/>
        </w:rPr>
        <w:t xml:space="preserve"> princípio da simetria de que cabe ao Governador do Estado a iniciativa de lei para criação, estruturação e atribuições de secretarias e de órgãos da administração pública</w:t>
      </w:r>
      <w:r w:rsidRPr="00182C45">
        <w:rPr>
          <w:color w:val="000000"/>
          <w:sz w:val="20"/>
        </w:rPr>
        <w:t xml:space="preserve">. 7. Violação ao princípio da separação dos poderes, pois o processo legislativo ocorreu sem a participação chefe do Poder Executivo. 8. Ação direta julgada procedente. </w:t>
      </w:r>
    </w:p>
    <w:p w:rsidR="001E2775" w:rsidRPr="00182C45" w:rsidRDefault="001E2775" w:rsidP="00C53808">
      <w:pPr>
        <w:tabs>
          <w:tab w:val="right" w:pos="9072"/>
        </w:tabs>
        <w:ind w:left="3402" w:right="-1"/>
        <w:jc w:val="both"/>
        <w:rPr>
          <w:color w:val="000000"/>
          <w:sz w:val="20"/>
        </w:rPr>
      </w:pPr>
    </w:p>
    <w:p w:rsidR="001E2775" w:rsidRPr="00182C45" w:rsidRDefault="001E2775" w:rsidP="00C53808">
      <w:pPr>
        <w:tabs>
          <w:tab w:val="right" w:pos="9072"/>
        </w:tabs>
        <w:ind w:left="3402" w:right="-1"/>
        <w:jc w:val="both"/>
        <w:rPr>
          <w:color w:val="000000"/>
          <w:sz w:val="20"/>
        </w:rPr>
      </w:pPr>
      <w:r w:rsidRPr="00182C45">
        <w:rPr>
          <w:color w:val="000000"/>
          <w:sz w:val="20"/>
        </w:rPr>
        <w:lastRenderedPageBreak/>
        <w:t xml:space="preserve">(STF. </w:t>
      </w:r>
      <w:r w:rsidRPr="00182C45">
        <w:rPr>
          <w:b/>
          <w:color w:val="000000"/>
          <w:sz w:val="20"/>
        </w:rPr>
        <w:t>ADI 821-RS</w:t>
      </w:r>
      <w:r w:rsidRPr="00182C45">
        <w:rPr>
          <w:color w:val="000000"/>
          <w:sz w:val="20"/>
        </w:rPr>
        <w:t>, Relator Ministro GILMAR MENDES, Tribunal Pleno, julgado em 02/09/2015, Acórdão Eletrônico DJe-239 divulgado em 25-11-2015, publicado em 26-11-2015).</w:t>
      </w:r>
    </w:p>
    <w:p w:rsidR="001E2775" w:rsidRPr="00182C45" w:rsidRDefault="001E2775" w:rsidP="00C53808">
      <w:pPr>
        <w:tabs>
          <w:tab w:val="right" w:pos="9072"/>
        </w:tabs>
        <w:ind w:left="3402" w:right="-1"/>
        <w:jc w:val="both"/>
        <w:rPr>
          <w:color w:val="000000"/>
          <w:sz w:val="20"/>
        </w:rPr>
      </w:pPr>
    </w:p>
    <w:p w:rsidR="001E2775" w:rsidRPr="00182C45" w:rsidRDefault="001E2775" w:rsidP="00C53808">
      <w:pPr>
        <w:ind w:left="3402"/>
        <w:jc w:val="both"/>
        <w:rPr>
          <w:b/>
          <w:sz w:val="20"/>
        </w:rPr>
      </w:pPr>
      <w:r w:rsidRPr="00182C45">
        <w:rPr>
          <w:sz w:val="20"/>
        </w:rPr>
        <w:t xml:space="preserve">EMENTA: RECURSO EXTRAORDINÁRIO - EMBARGOS DE DECLARAÇÃO RECEBIDOS COMO RECURSO DE AGRAVO - DECISÃO QUE SE AJUSTA À JURISPRUDÊNCIA PREVALECENTE NO SUPREMO TRIBUNAL FEDERAL - CONSEQÜENTE INVIABILIDADE DO RECURSO QUE A IMPUGNA - SUBSISTÊNCIA DOS FUNDAMENTOS QUE DÃO SUPORTE À DECISÃO RECORRIDA - RECURSO DE AGRAVO IMPROVIDO. </w:t>
      </w:r>
      <w:r w:rsidRPr="00182C45">
        <w:rPr>
          <w:b/>
          <w:sz w:val="20"/>
        </w:rPr>
        <w:t>O princípio constitucional da reserva de administração impede a ingerência normativa do Poder Legislativo em matérias sujeitas à exclusiva competência administrativa do Poder Executivo.</w:t>
      </w:r>
      <w:r w:rsidRPr="00182C45">
        <w:rPr>
          <w:sz w:val="20"/>
        </w:rPr>
        <w:t xml:space="preserve"> É que, em tais matérias, o Legislativo não se qualifica como instância de revisão dos atos administrativos emanados do Poder Executivo. Precedentes. Não cabe, desse modo, ao Poder Legislativo, sob pena de grave desrespeito ao postulado da separação de poderes, desconstituir, por lei, atos de caráter administrativo que tenham sido editados pelo Poder Executivo, no estrito desempenho de suas privativas atribuições institucionais. Essa prática legislativa, quando efetivada, subverte a função primária da lei, transgride o princípio da divisão funcional do poder, representa comportamento heterodoxo da instituição parlamentar e importa em atuação “ultra vires” do</w:t>
      </w:r>
      <w:r w:rsidRPr="00182C45">
        <w:rPr>
          <w:b/>
          <w:sz w:val="20"/>
        </w:rPr>
        <w:t xml:space="preserve"> Poder Legislativo, </w:t>
      </w:r>
      <w:r w:rsidRPr="00182C45">
        <w:rPr>
          <w:sz w:val="20"/>
        </w:rPr>
        <w:t>que</w:t>
      </w:r>
      <w:r w:rsidRPr="00182C45">
        <w:rPr>
          <w:b/>
          <w:sz w:val="20"/>
        </w:rPr>
        <w:t xml:space="preserve"> não pode, em sua atuação político-jurídica, exorbitar dos limites que definem o exercício de suas prerrogativas institucionais.</w:t>
      </w:r>
    </w:p>
    <w:p w:rsidR="001E2775" w:rsidRPr="00E609DB" w:rsidRDefault="001E2775" w:rsidP="00C53808">
      <w:pPr>
        <w:ind w:left="3402"/>
        <w:jc w:val="both"/>
        <w:rPr>
          <w:sz w:val="22"/>
          <w:szCs w:val="22"/>
        </w:rPr>
      </w:pPr>
      <w:r w:rsidRPr="00182C45">
        <w:rPr>
          <w:sz w:val="20"/>
        </w:rPr>
        <w:br/>
        <w:t xml:space="preserve">(STF. </w:t>
      </w:r>
      <w:r w:rsidRPr="00182C45">
        <w:rPr>
          <w:b/>
          <w:sz w:val="20"/>
        </w:rPr>
        <w:t>RE 427574 ED</w:t>
      </w:r>
      <w:r w:rsidRPr="00182C45">
        <w:rPr>
          <w:sz w:val="20"/>
        </w:rPr>
        <w:t>, Relator(a):  Min. CELSO DE MELLO, Segunda Turma, julgado em 13/12/2011, ACÓRDÃO ELETRÔNICO DJe-030 DIVULG 10-02-2012 PUBLIC 13-02-2012 RT v. 101, n. 922, 2012, p. 736-741, grifo nosso)</w:t>
      </w:r>
    </w:p>
    <w:p w:rsidR="001E2775" w:rsidRDefault="001E2775" w:rsidP="001E2775">
      <w:pPr>
        <w:ind w:firstLine="1418"/>
        <w:jc w:val="both"/>
        <w:rPr>
          <w:szCs w:val="24"/>
        </w:rPr>
      </w:pPr>
    </w:p>
    <w:p w:rsidR="00A178F1" w:rsidRDefault="00A178F1" w:rsidP="001E2775">
      <w:pPr>
        <w:ind w:firstLine="1418"/>
        <w:jc w:val="both"/>
        <w:rPr>
          <w:szCs w:val="24"/>
        </w:rPr>
      </w:pPr>
      <w:r>
        <w:rPr>
          <w:szCs w:val="24"/>
        </w:rPr>
        <w:t xml:space="preserve">Denota-se, ainda, a existência de clara incompatibilidade entre o disposto no </w:t>
      </w:r>
      <w:r>
        <w:rPr>
          <w:i/>
          <w:iCs/>
          <w:szCs w:val="24"/>
        </w:rPr>
        <w:t xml:space="preserve">caput </w:t>
      </w:r>
      <w:r>
        <w:rPr>
          <w:szCs w:val="24"/>
        </w:rPr>
        <w:t>do art. 2º da proposta legislativa, que retrata</w:t>
      </w:r>
      <w:r w:rsidRPr="00A178F1">
        <w:rPr>
          <w:szCs w:val="24"/>
        </w:rPr>
        <w:t xml:space="preserve"> a necessidade de preservação da identidade dos pacientes, cuja identificação nas listas de espera divulgadas deveria ser realizada </w:t>
      </w:r>
      <w:r>
        <w:rPr>
          <w:szCs w:val="24"/>
        </w:rPr>
        <w:t xml:space="preserve">apenas </w:t>
      </w:r>
      <w:r w:rsidRPr="00A178F1">
        <w:rPr>
          <w:szCs w:val="24"/>
        </w:rPr>
        <w:t xml:space="preserve">através do Cartão Nacional de Saúde, </w:t>
      </w:r>
      <w:r>
        <w:rPr>
          <w:szCs w:val="24"/>
        </w:rPr>
        <w:t>e no § 1º do art. 4º,</w:t>
      </w:r>
      <w:r w:rsidRPr="00A178F1">
        <w:rPr>
          <w:szCs w:val="24"/>
        </w:rPr>
        <w:t xml:space="preserve"> que</w:t>
      </w:r>
      <w:r>
        <w:rPr>
          <w:szCs w:val="24"/>
        </w:rPr>
        <w:t>, por sua vez,</w:t>
      </w:r>
      <w:r w:rsidRPr="00A178F1">
        <w:rPr>
          <w:szCs w:val="24"/>
        </w:rPr>
        <w:t xml:space="preserve"> indica, dentre as informações que deverão ser divulgadas nas listagens, o nome completo dos inscritos</w:t>
      </w:r>
      <w:r>
        <w:rPr>
          <w:szCs w:val="24"/>
        </w:rPr>
        <w:t xml:space="preserve"> (inciso III) e a relação dos pacientes já atendidos, por meio do CNS ou do CPF (inciso IV)</w:t>
      </w:r>
      <w:r w:rsidRPr="00A178F1">
        <w:rPr>
          <w:szCs w:val="24"/>
        </w:rPr>
        <w:t>.</w:t>
      </w:r>
    </w:p>
    <w:p w:rsidR="00A178F1" w:rsidRDefault="00A178F1" w:rsidP="007D454B">
      <w:pPr>
        <w:pStyle w:val="NormalWeb"/>
        <w:shd w:val="clear" w:color="auto" w:fill="FFFFFF"/>
        <w:spacing w:before="0" w:beforeAutospacing="0" w:after="0" w:afterAutospacing="0"/>
        <w:ind w:firstLine="1418"/>
        <w:jc w:val="both"/>
      </w:pPr>
      <w:bookmarkStart w:id="2" w:name="_Hlk71909006"/>
    </w:p>
    <w:p w:rsidR="007D454B" w:rsidRDefault="00E95F2B" w:rsidP="007D454B">
      <w:pPr>
        <w:pStyle w:val="NormalWeb"/>
        <w:shd w:val="clear" w:color="auto" w:fill="FFFFFF"/>
        <w:spacing w:before="0" w:beforeAutospacing="0" w:after="0" w:afterAutospacing="0"/>
        <w:ind w:firstLine="1418"/>
        <w:jc w:val="both"/>
        <w:rPr>
          <w:color w:val="000000"/>
          <w:shd w:val="clear" w:color="auto" w:fill="FFFFFF"/>
        </w:rPr>
      </w:pPr>
      <w:r>
        <w:t>No que concerne ao direito à saúde</w:t>
      </w:r>
      <w:r w:rsidR="007D454B">
        <w:t>, a</w:t>
      </w:r>
      <w:r w:rsidR="007D454B" w:rsidRPr="0016495F">
        <w:t xml:space="preserve"> Constituição Federal</w:t>
      </w:r>
      <w:r w:rsidR="007D454B">
        <w:t>, em seu art. 6º,</w:t>
      </w:r>
      <w:r w:rsidR="007D454B" w:rsidRPr="0016495F">
        <w:t xml:space="preserve"> concede especial proteção à saúde da população brasileira</w:t>
      </w:r>
      <w:r w:rsidR="007D454B" w:rsidRPr="0016495F">
        <w:rPr>
          <w:rStyle w:val="Refdenotaderodap"/>
        </w:rPr>
        <w:footnoteReference w:id="2"/>
      </w:r>
      <w:r w:rsidR="007D454B" w:rsidRPr="0016495F">
        <w:t xml:space="preserve">, </w:t>
      </w:r>
      <w:r w:rsidR="007D454B" w:rsidRPr="0016495F">
        <w:rPr>
          <w:b/>
        </w:rPr>
        <w:t xml:space="preserve">direito </w:t>
      </w:r>
      <w:r w:rsidR="007D454B">
        <w:rPr>
          <w:b/>
        </w:rPr>
        <w:t>fundamental social</w:t>
      </w:r>
      <w:r w:rsidR="007D454B" w:rsidRPr="0016495F">
        <w:t xml:space="preserve"> e </w:t>
      </w:r>
      <w:r w:rsidR="007D454B">
        <w:t xml:space="preserve">cujo </w:t>
      </w:r>
      <w:r w:rsidR="007D454B" w:rsidRPr="0016495F">
        <w:t xml:space="preserve">dever </w:t>
      </w:r>
      <w:r w:rsidR="007D454B">
        <w:t>de provimento atribui a</w:t>
      </w:r>
      <w:r w:rsidR="007D454B" w:rsidRPr="0016495F">
        <w:t xml:space="preserve">o Estado, </w:t>
      </w:r>
      <w:r w:rsidR="007D454B">
        <w:rPr>
          <w:color w:val="000000"/>
          <w:shd w:val="clear" w:color="auto" w:fill="FFFFFF"/>
        </w:rPr>
        <w:t xml:space="preserve">que deverá, </w:t>
      </w:r>
      <w:r w:rsidR="007D454B" w:rsidRPr="0016495F">
        <w:rPr>
          <w:color w:val="000000"/>
          <w:shd w:val="clear" w:color="auto" w:fill="FFFFFF"/>
        </w:rPr>
        <w:t xml:space="preserve">mediante políticas sociais e econômicas que visem </w:t>
      </w:r>
      <w:r w:rsidR="00A178F1">
        <w:rPr>
          <w:color w:val="000000"/>
          <w:shd w:val="clear" w:color="auto" w:fill="FFFFFF"/>
        </w:rPr>
        <w:t>a</w:t>
      </w:r>
      <w:r w:rsidR="007D454B" w:rsidRPr="0016495F">
        <w:rPr>
          <w:color w:val="000000"/>
          <w:shd w:val="clear" w:color="auto" w:fill="FFFFFF"/>
        </w:rPr>
        <w:t xml:space="preserve"> </w:t>
      </w:r>
      <w:r w:rsidR="007D454B" w:rsidRPr="0016495F">
        <w:rPr>
          <w:b/>
          <w:color w:val="000000"/>
          <w:u w:val="single"/>
          <w:shd w:val="clear" w:color="auto" w:fill="FFFFFF"/>
        </w:rPr>
        <w:t>redução do risco de doença e de outros agravos</w:t>
      </w:r>
      <w:r w:rsidR="007D454B">
        <w:rPr>
          <w:b/>
          <w:color w:val="000000"/>
          <w:u w:val="single"/>
          <w:shd w:val="clear" w:color="auto" w:fill="FFFFFF"/>
        </w:rPr>
        <w:t>,</w:t>
      </w:r>
      <w:r w:rsidR="007D454B" w:rsidRPr="0016495F">
        <w:rPr>
          <w:b/>
          <w:color w:val="000000"/>
          <w:u w:val="single"/>
          <w:shd w:val="clear" w:color="auto" w:fill="FFFFFF"/>
        </w:rPr>
        <w:t xml:space="preserve"> </w:t>
      </w:r>
      <w:r w:rsidR="007D454B">
        <w:rPr>
          <w:b/>
          <w:color w:val="000000"/>
          <w:u w:val="single"/>
          <w:shd w:val="clear" w:color="auto" w:fill="FFFFFF"/>
        </w:rPr>
        <w:t xml:space="preserve">garantir </w:t>
      </w:r>
      <w:r w:rsidR="007D454B" w:rsidRPr="0016495F">
        <w:rPr>
          <w:b/>
          <w:color w:val="000000"/>
          <w:u w:val="single"/>
          <w:shd w:val="clear" w:color="auto" w:fill="FFFFFF"/>
        </w:rPr>
        <w:t>o acesso universal e igualitário às ações e serviços para sua promoção, proteção e recuperação</w:t>
      </w:r>
      <w:r w:rsidR="007D454B" w:rsidRPr="0016495F">
        <w:rPr>
          <w:rStyle w:val="Refdenotaderodap"/>
          <w:color w:val="000000"/>
          <w:shd w:val="clear" w:color="auto" w:fill="FFFFFF"/>
        </w:rPr>
        <w:footnoteReference w:id="3"/>
      </w:r>
      <w:r w:rsidR="007D454B" w:rsidRPr="0016495F">
        <w:rPr>
          <w:color w:val="000000"/>
          <w:shd w:val="clear" w:color="auto" w:fill="FFFFFF"/>
        </w:rPr>
        <w:t>.</w:t>
      </w:r>
    </w:p>
    <w:p w:rsidR="007D454B" w:rsidRDefault="007D454B" w:rsidP="007D454B">
      <w:pPr>
        <w:pStyle w:val="NormalWeb"/>
        <w:shd w:val="clear" w:color="auto" w:fill="FFFFFF"/>
        <w:spacing w:before="0" w:beforeAutospacing="0" w:after="0" w:afterAutospacing="0"/>
        <w:ind w:firstLine="1418"/>
        <w:jc w:val="both"/>
        <w:rPr>
          <w:color w:val="000000"/>
          <w:shd w:val="clear" w:color="auto" w:fill="FFFFFF"/>
        </w:rPr>
      </w:pPr>
    </w:p>
    <w:p w:rsidR="007D454B" w:rsidRPr="0016495F" w:rsidRDefault="00E95F2B" w:rsidP="007D454B">
      <w:pPr>
        <w:pStyle w:val="NormalWeb"/>
        <w:shd w:val="clear" w:color="auto" w:fill="FFFFFF"/>
        <w:spacing w:before="0" w:beforeAutospacing="0" w:after="0" w:afterAutospacing="0"/>
        <w:ind w:firstLine="1418"/>
        <w:jc w:val="both"/>
        <w:rPr>
          <w:b/>
          <w:bCs/>
        </w:rPr>
      </w:pPr>
      <w:r>
        <w:rPr>
          <w:shd w:val="clear" w:color="auto" w:fill="FFFFFF"/>
        </w:rPr>
        <w:t>Cenário em que a</w:t>
      </w:r>
      <w:r w:rsidR="007D454B" w:rsidRPr="0016495F">
        <w:rPr>
          <w:shd w:val="clear" w:color="auto" w:fill="FFFFFF"/>
        </w:rPr>
        <w:t xml:space="preserve"> </w:t>
      </w:r>
      <w:r w:rsidR="007D454B" w:rsidRPr="0016495F">
        <w:rPr>
          <w:rStyle w:val="Forte"/>
          <w:shd w:val="clear" w:color="auto" w:fill="FFFFFF"/>
        </w:rPr>
        <w:t xml:space="preserve">Lei nº 8.080, de 19 de setembro de 1990, em seu art. 15, </w:t>
      </w:r>
      <w:r w:rsidR="007D454B">
        <w:rPr>
          <w:shd w:val="clear" w:color="auto" w:fill="FFFFFF"/>
        </w:rPr>
        <w:t>ao</w:t>
      </w:r>
      <w:r w:rsidR="007D454B" w:rsidRPr="0016495F">
        <w:rPr>
          <w:shd w:val="clear" w:color="auto" w:fill="FFFFFF"/>
        </w:rPr>
        <w:t xml:space="preserve"> regular as ações e serviços de saúde em todo o território nacional</w:t>
      </w:r>
      <w:r w:rsidR="007D454B">
        <w:rPr>
          <w:shd w:val="clear" w:color="auto" w:fill="FFFFFF"/>
        </w:rPr>
        <w:t>, define</w:t>
      </w:r>
      <w:r w:rsidR="007D454B" w:rsidRPr="0016495F">
        <w:rPr>
          <w:shd w:val="clear" w:color="auto" w:fill="FFFFFF"/>
        </w:rPr>
        <w:t xml:space="preserve"> as instâncias e </w:t>
      </w:r>
      <w:r w:rsidR="007D454B" w:rsidRPr="0016495F">
        <w:rPr>
          <w:b/>
          <w:u w:val="single"/>
          <w:shd w:val="clear" w:color="auto" w:fill="FFFFFF"/>
        </w:rPr>
        <w:t xml:space="preserve">mecanismos de controle, </w:t>
      </w:r>
      <w:r w:rsidR="007D454B">
        <w:rPr>
          <w:b/>
          <w:u w:val="single"/>
          <w:shd w:val="clear" w:color="auto" w:fill="FFFFFF"/>
        </w:rPr>
        <w:t xml:space="preserve">de </w:t>
      </w:r>
      <w:r w:rsidR="007D454B" w:rsidRPr="0016495F">
        <w:rPr>
          <w:b/>
          <w:u w:val="single"/>
          <w:shd w:val="clear" w:color="auto" w:fill="FFFFFF"/>
        </w:rPr>
        <w:t>avaliação e de fiscalização</w:t>
      </w:r>
      <w:r w:rsidR="007D454B" w:rsidRPr="0016495F">
        <w:rPr>
          <w:shd w:val="clear" w:color="auto" w:fill="FFFFFF"/>
        </w:rPr>
        <w:t xml:space="preserve">, </w:t>
      </w:r>
      <w:r w:rsidR="007D454B">
        <w:rPr>
          <w:shd w:val="clear" w:color="auto" w:fill="FFFFFF"/>
        </w:rPr>
        <w:t xml:space="preserve">assim como de </w:t>
      </w:r>
      <w:r w:rsidR="007D454B" w:rsidRPr="0016495F">
        <w:rPr>
          <w:shd w:val="clear" w:color="auto" w:fill="FFFFFF"/>
        </w:rPr>
        <w:t xml:space="preserve">organização e </w:t>
      </w:r>
      <w:r w:rsidR="007D454B" w:rsidRPr="0016495F">
        <w:rPr>
          <w:b/>
          <w:u w:val="single"/>
          <w:shd w:val="clear" w:color="auto" w:fill="FFFFFF"/>
        </w:rPr>
        <w:t xml:space="preserve">coordenação do sistema de </w:t>
      </w:r>
      <w:r w:rsidR="007D454B" w:rsidRPr="0016495F">
        <w:rPr>
          <w:b/>
          <w:u w:val="single"/>
          <w:shd w:val="clear" w:color="auto" w:fill="FFFFFF"/>
        </w:rPr>
        <w:lastRenderedPageBreak/>
        <w:t>informação</w:t>
      </w:r>
      <w:r w:rsidR="007D454B" w:rsidRPr="0016495F">
        <w:rPr>
          <w:shd w:val="clear" w:color="auto" w:fill="FFFFFF"/>
        </w:rPr>
        <w:t xml:space="preserve"> </w:t>
      </w:r>
      <w:r w:rsidR="007D454B">
        <w:rPr>
          <w:shd w:val="clear" w:color="auto" w:fill="FFFFFF"/>
        </w:rPr>
        <w:t xml:space="preserve">e de </w:t>
      </w:r>
      <w:r w:rsidR="007D454B" w:rsidRPr="0016495F">
        <w:rPr>
          <w:shd w:val="clear" w:color="auto" w:fill="FFFFFF"/>
        </w:rPr>
        <w:t xml:space="preserve">elaboração de </w:t>
      </w:r>
      <w:r w:rsidR="007D454B" w:rsidRPr="0016495F">
        <w:rPr>
          <w:b/>
          <w:u w:val="single"/>
          <w:shd w:val="clear" w:color="auto" w:fill="FFFFFF"/>
        </w:rPr>
        <w:t>normas técnicas</w:t>
      </w:r>
      <w:r w:rsidR="007D454B">
        <w:rPr>
          <w:b/>
          <w:u w:val="single"/>
          <w:shd w:val="clear" w:color="auto" w:fill="FFFFFF"/>
        </w:rPr>
        <w:t>, com vistas ao</w:t>
      </w:r>
      <w:r w:rsidR="007D454B" w:rsidRPr="0016495F">
        <w:rPr>
          <w:b/>
          <w:u w:val="single"/>
          <w:shd w:val="clear" w:color="auto" w:fill="FFFFFF"/>
        </w:rPr>
        <w:t xml:space="preserve"> estabelecimento de padrões de qualidade e parâmetros de custos</w:t>
      </w:r>
      <w:r w:rsidR="007D454B" w:rsidRPr="0016495F">
        <w:rPr>
          <w:b/>
          <w:bCs/>
        </w:rPr>
        <w:t>.</w:t>
      </w:r>
      <w:r w:rsidR="007D454B">
        <w:rPr>
          <w:b/>
          <w:bCs/>
        </w:rPr>
        <w:t xml:space="preserve"> </w:t>
      </w:r>
    </w:p>
    <w:p w:rsidR="007D454B" w:rsidRPr="0016495F" w:rsidRDefault="007D454B" w:rsidP="007D454B">
      <w:pPr>
        <w:pStyle w:val="NormalWeb"/>
        <w:spacing w:before="0" w:beforeAutospacing="0" w:after="0" w:afterAutospacing="0"/>
        <w:ind w:firstLine="1418"/>
        <w:jc w:val="both"/>
      </w:pPr>
    </w:p>
    <w:p w:rsidR="007D454B" w:rsidRDefault="00A178F1" w:rsidP="007D454B">
      <w:pPr>
        <w:ind w:firstLine="1418"/>
        <w:jc w:val="both"/>
        <w:rPr>
          <w:szCs w:val="24"/>
        </w:rPr>
      </w:pPr>
      <w:r>
        <w:rPr>
          <w:szCs w:val="24"/>
        </w:rPr>
        <w:t>Integrando</w:t>
      </w:r>
      <w:r w:rsidR="007D454B">
        <w:rPr>
          <w:szCs w:val="24"/>
        </w:rPr>
        <w:t xml:space="preserve"> as ações e serviços públicos de saúde</w:t>
      </w:r>
      <w:r>
        <w:rPr>
          <w:szCs w:val="24"/>
        </w:rPr>
        <w:t xml:space="preserve"> d</w:t>
      </w:r>
      <w:r w:rsidR="007D454B">
        <w:rPr>
          <w:szCs w:val="24"/>
        </w:rPr>
        <w:t xml:space="preserve">o </w:t>
      </w:r>
      <w:r w:rsidR="007D454B" w:rsidRPr="007D454B">
        <w:rPr>
          <w:szCs w:val="24"/>
        </w:rPr>
        <w:t>Sistema Único de Saúde (SUS)</w:t>
      </w:r>
      <w:r w:rsidR="007D454B">
        <w:rPr>
          <w:szCs w:val="24"/>
        </w:rPr>
        <w:t xml:space="preserve">, previsto no art. 198 da Constituição Federal e regido pela </w:t>
      </w:r>
      <w:r w:rsidR="00E95F2B">
        <w:rPr>
          <w:sz w:val="23"/>
          <w:szCs w:val="23"/>
        </w:rPr>
        <w:t xml:space="preserve">norma legal </w:t>
      </w:r>
      <w:proofErr w:type="spellStart"/>
      <w:r w:rsidR="00E95F2B">
        <w:rPr>
          <w:sz w:val="23"/>
          <w:szCs w:val="23"/>
        </w:rPr>
        <w:t>retrocitada</w:t>
      </w:r>
      <w:proofErr w:type="spellEnd"/>
      <w:r w:rsidR="007D454B">
        <w:rPr>
          <w:szCs w:val="24"/>
        </w:rPr>
        <w:t xml:space="preserve">, </w:t>
      </w:r>
      <w:r w:rsidR="007D454B" w:rsidRPr="007D454B">
        <w:rPr>
          <w:b/>
          <w:bCs/>
          <w:szCs w:val="24"/>
          <w:u w:val="single"/>
        </w:rPr>
        <w:t>rede regionalizada, hierarquizada e descentralizada, prestados por meio de órgãos e instituições públicas federais, estaduais e municipais, da Administração direta e indireta e das fundações mantidas pelo Poder Público</w:t>
      </w:r>
      <w:r w:rsidR="007D454B">
        <w:rPr>
          <w:szCs w:val="24"/>
        </w:rPr>
        <w:t>.</w:t>
      </w:r>
      <w:r w:rsidR="00E95F2B">
        <w:rPr>
          <w:szCs w:val="24"/>
        </w:rPr>
        <w:t xml:space="preserve"> Cujas ações e serviços encontram-se regidos, </w:t>
      </w:r>
      <w:r w:rsidR="007D454B" w:rsidRPr="007D454B">
        <w:rPr>
          <w:szCs w:val="24"/>
        </w:rPr>
        <w:t xml:space="preserve">dentre </w:t>
      </w:r>
      <w:r w:rsidR="00E95F2B">
        <w:rPr>
          <w:szCs w:val="24"/>
        </w:rPr>
        <w:t>outr</w:t>
      </w:r>
      <w:r w:rsidR="007D454B" w:rsidRPr="007D454B">
        <w:rPr>
          <w:szCs w:val="24"/>
        </w:rPr>
        <w:t>os princípios e diretrizes</w:t>
      </w:r>
      <w:r w:rsidR="00E95F2B">
        <w:rPr>
          <w:szCs w:val="24"/>
        </w:rPr>
        <w:t>, pel</w:t>
      </w:r>
      <w:r w:rsidR="007D454B" w:rsidRPr="007D454B">
        <w:rPr>
          <w:szCs w:val="24"/>
        </w:rPr>
        <w:t>o direito à informação às pessoas assistidas e a divulgação de informações quanto à utilização dos serviços pelos usuários</w:t>
      </w:r>
      <w:r w:rsidR="007D454B">
        <w:rPr>
          <w:szCs w:val="24"/>
        </w:rPr>
        <w:t>.</w:t>
      </w:r>
    </w:p>
    <w:p w:rsidR="007D454B" w:rsidRDefault="007D454B" w:rsidP="007D454B">
      <w:pPr>
        <w:ind w:firstLine="1418"/>
        <w:jc w:val="both"/>
        <w:rPr>
          <w:szCs w:val="24"/>
        </w:rPr>
      </w:pPr>
    </w:p>
    <w:p w:rsidR="007D454B" w:rsidRDefault="007D454B" w:rsidP="007D454B">
      <w:pPr>
        <w:ind w:firstLine="1418"/>
        <w:jc w:val="both"/>
        <w:rPr>
          <w:szCs w:val="24"/>
        </w:rPr>
      </w:pPr>
      <w:r>
        <w:rPr>
          <w:szCs w:val="24"/>
        </w:rPr>
        <w:t xml:space="preserve">Em vista </w:t>
      </w:r>
      <w:r w:rsidR="00A178F1">
        <w:rPr>
          <w:szCs w:val="24"/>
        </w:rPr>
        <w:t>d</w:t>
      </w:r>
      <w:r>
        <w:rPr>
          <w:szCs w:val="24"/>
        </w:rPr>
        <w:t>o</w:t>
      </w:r>
      <w:r w:rsidR="00A178F1">
        <w:rPr>
          <w:szCs w:val="24"/>
        </w:rPr>
        <w:t xml:space="preserve"> que</w:t>
      </w:r>
      <w:r>
        <w:rPr>
          <w:szCs w:val="24"/>
        </w:rPr>
        <w:t>, o</w:t>
      </w:r>
      <w:r w:rsidRPr="007D454B">
        <w:rPr>
          <w:szCs w:val="24"/>
        </w:rPr>
        <w:t xml:space="preserve"> Ministério da Saúde </w:t>
      </w:r>
      <w:r>
        <w:rPr>
          <w:szCs w:val="24"/>
        </w:rPr>
        <w:t xml:space="preserve">disponibilizou o </w:t>
      </w:r>
      <w:proofErr w:type="spellStart"/>
      <w:r w:rsidRPr="007D454B">
        <w:rPr>
          <w:szCs w:val="24"/>
        </w:rPr>
        <w:t>MeuDIgiSUS</w:t>
      </w:r>
      <w:proofErr w:type="spellEnd"/>
      <w:r w:rsidRPr="007D454B">
        <w:rPr>
          <w:szCs w:val="24"/>
        </w:rPr>
        <w:t xml:space="preserve">, ferramenta que possibilita o monitoramento do agendamento de exames e procedimentos controlados pelo Sistema de Regulação (SISREG) e pelo sistema da Atenção Básica e-SUS AB. Oriundo da aprovação pela Resolução CIT nº 19, de 22 de junho de 2017, da Comissão </w:t>
      </w:r>
      <w:proofErr w:type="spellStart"/>
      <w:r w:rsidRPr="007D454B">
        <w:rPr>
          <w:szCs w:val="24"/>
        </w:rPr>
        <w:t>Intergestores</w:t>
      </w:r>
      <w:proofErr w:type="spellEnd"/>
      <w:r w:rsidRPr="007D454B">
        <w:rPr>
          <w:szCs w:val="24"/>
        </w:rPr>
        <w:t xml:space="preserve"> Tripartite (CIT), do documento da estratégia, que se alinha às diretrizes e princípios do SUS e à política brasileira de governo eletrônico, </w:t>
      </w:r>
      <w:r w:rsidR="00A178F1">
        <w:rPr>
          <w:szCs w:val="24"/>
        </w:rPr>
        <w:t xml:space="preserve">e que </w:t>
      </w:r>
      <w:r w:rsidRPr="007D454B">
        <w:rPr>
          <w:szCs w:val="24"/>
        </w:rPr>
        <w:t>propõe uma visão de e-Saúde</w:t>
      </w:r>
      <w:r w:rsidR="00E95F2B">
        <w:rPr>
          <w:szCs w:val="24"/>
        </w:rPr>
        <w:t xml:space="preserve">, descrevendo </w:t>
      </w:r>
      <w:r w:rsidRPr="007D454B">
        <w:rPr>
          <w:szCs w:val="24"/>
        </w:rPr>
        <w:t>mecanismos contributivos para sua incorporação ao SUS.</w:t>
      </w:r>
    </w:p>
    <w:p w:rsidR="007D454B" w:rsidRDefault="007D454B" w:rsidP="007D454B">
      <w:pPr>
        <w:ind w:firstLine="1418"/>
        <w:jc w:val="both"/>
        <w:rPr>
          <w:szCs w:val="24"/>
        </w:rPr>
      </w:pPr>
    </w:p>
    <w:bookmarkEnd w:id="2"/>
    <w:p w:rsidR="001E2775" w:rsidRPr="004344A9" w:rsidRDefault="001E2775" w:rsidP="001E2775">
      <w:pPr>
        <w:ind w:firstLine="1418"/>
        <w:jc w:val="both"/>
        <w:rPr>
          <w:szCs w:val="24"/>
        </w:rPr>
      </w:pPr>
      <w:r w:rsidRPr="004344A9">
        <w:rPr>
          <w:szCs w:val="24"/>
        </w:rPr>
        <w:t xml:space="preserve">Diante do exposto, tendo em vista o Princípio da Separação dos Poderes (art. 6º, Constituição Estadual e art. 2°, Constituição da República) e considerando que o legislador infraconstitucional não pode interferir na construção do constituinte, de modo a criar ou ampliar os campos de intersecção entre os Poderes estatais, oponho </w:t>
      </w:r>
      <w:r w:rsidR="00C53808">
        <w:rPr>
          <w:b/>
          <w:bCs/>
          <w:szCs w:val="24"/>
        </w:rPr>
        <w:t>veto total ao Projeto de Lei nº</w:t>
      </w:r>
      <w:r w:rsidRPr="004344A9">
        <w:rPr>
          <w:b/>
          <w:bCs/>
          <w:szCs w:val="24"/>
        </w:rPr>
        <w:t xml:space="preserve"> </w:t>
      </w:r>
      <w:r>
        <w:rPr>
          <w:b/>
          <w:bCs/>
          <w:szCs w:val="24"/>
        </w:rPr>
        <w:t>039</w:t>
      </w:r>
      <w:r w:rsidRPr="004344A9">
        <w:rPr>
          <w:b/>
          <w:bCs/>
          <w:szCs w:val="24"/>
        </w:rPr>
        <w:t>/202</w:t>
      </w:r>
      <w:r>
        <w:rPr>
          <w:b/>
          <w:bCs/>
          <w:szCs w:val="24"/>
        </w:rPr>
        <w:t>1</w:t>
      </w:r>
      <w:r w:rsidRPr="004344A9">
        <w:rPr>
          <w:b/>
          <w:bCs/>
          <w:szCs w:val="24"/>
        </w:rPr>
        <w:t xml:space="preserve">, </w:t>
      </w:r>
      <w:r w:rsidRPr="004344A9">
        <w:rPr>
          <w:b/>
          <w:szCs w:val="24"/>
          <w:u w:val="single"/>
        </w:rPr>
        <w:t>em face da existência de vício de inconstitucionalidade formal</w:t>
      </w:r>
      <w:r>
        <w:rPr>
          <w:b/>
          <w:szCs w:val="24"/>
          <w:u w:val="single"/>
        </w:rPr>
        <w:t xml:space="preserve"> e material</w:t>
      </w:r>
      <w:r w:rsidR="00A178F1">
        <w:rPr>
          <w:b/>
          <w:szCs w:val="24"/>
          <w:u w:val="single"/>
        </w:rPr>
        <w:t>, e contrariedade ao interesse público</w:t>
      </w:r>
      <w:r w:rsidRPr="004344A9">
        <w:rPr>
          <w:szCs w:val="24"/>
        </w:rPr>
        <w:t>.</w:t>
      </w:r>
    </w:p>
    <w:p w:rsidR="001E2775" w:rsidRPr="004344A9" w:rsidRDefault="001E2775" w:rsidP="001E2775">
      <w:pPr>
        <w:jc w:val="both"/>
        <w:rPr>
          <w:szCs w:val="24"/>
        </w:rPr>
      </w:pPr>
    </w:p>
    <w:p w:rsidR="001E2775" w:rsidRPr="004344A9" w:rsidRDefault="001E2775" w:rsidP="001E2775">
      <w:pPr>
        <w:ind w:firstLine="1418"/>
        <w:jc w:val="both"/>
        <w:rPr>
          <w:szCs w:val="24"/>
        </w:rPr>
      </w:pPr>
      <w:r w:rsidRPr="004344A9">
        <w:rPr>
          <w:szCs w:val="24"/>
        </w:rPr>
        <w:t xml:space="preserve">Interpretação diversa conflitaria com o texto constitucional vigente e implicaria desrespeito ao Princípio da Superioridade Normativa da Constituição cuja ideia central consiste na soberania do texto constitucional no ordenamento jurídico, bem como na obrigatoriedade de adequação de todas as demais leis e atos normativos a essa. </w:t>
      </w:r>
    </w:p>
    <w:p w:rsidR="001E2775" w:rsidRPr="004344A9" w:rsidRDefault="001E2775" w:rsidP="001E2775">
      <w:pPr>
        <w:tabs>
          <w:tab w:val="left" w:pos="426"/>
          <w:tab w:val="left" w:pos="7820"/>
        </w:tabs>
        <w:ind w:firstLine="1418"/>
        <w:jc w:val="both"/>
        <w:rPr>
          <w:szCs w:val="24"/>
        </w:rPr>
      </w:pPr>
    </w:p>
    <w:p w:rsidR="000A5312" w:rsidRDefault="001E2775" w:rsidP="001E2775">
      <w:pPr>
        <w:ind w:firstLine="1418"/>
        <w:jc w:val="both"/>
        <w:rPr>
          <w:szCs w:val="24"/>
        </w:rPr>
      </w:pPr>
      <w:r w:rsidRPr="004344A9">
        <w:rPr>
          <w:szCs w:val="24"/>
        </w:rPr>
        <w:t xml:space="preserve">Estas, portanto, Senhor Presidente, são as razões que me fizeram vetar integralmente o Projeto de Lei nº </w:t>
      </w:r>
      <w:r>
        <w:rPr>
          <w:szCs w:val="24"/>
        </w:rPr>
        <w:t>039/2021</w:t>
      </w:r>
      <w:r w:rsidR="000A5312">
        <w:rPr>
          <w:szCs w:val="24"/>
        </w:rPr>
        <w:t>.</w:t>
      </w:r>
    </w:p>
    <w:p w:rsidR="00010F43" w:rsidRDefault="00010F43" w:rsidP="00BB653E">
      <w:pPr>
        <w:ind w:firstLine="1418"/>
        <w:jc w:val="both"/>
        <w:rPr>
          <w:szCs w:val="24"/>
        </w:rPr>
      </w:pPr>
    </w:p>
    <w:p w:rsidR="00850A22" w:rsidRPr="00832B22" w:rsidRDefault="00850A22" w:rsidP="00850A22">
      <w:pPr>
        <w:ind w:firstLine="1418"/>
        <w:jc w:val="both"/>
        <w:rPr>
          <w:szCs w:val="24"/>
        </w:rPr>
      </w:pPr>
      <w:r w:rsidRPr="00832B22">
        <w:rPr>
          <w:szCs w:val="24"/>
        </w:rPr>
        <w:t>GABINETE DO GOVERNADOR DO ESTADO DO MARANHÃO, EM SÃO LUÍS,</w:t>
      </w:r>
      <w:r w:rsidR="00C16390">
        <w:rPr>
          <w:szCs w:val="24"/>
        </w:rPr>
        <w:t xml:space="preserve"> 17</w:t>
      </w:r>
      <w:r w:rsidRPr="00832B22">
        <w:rPr>
          <w:szCs w:val="24"/>
        </w:rPr>
        <w:t xml:space="preserve"> DE </w:t>
      </w:r>
      <w:r w:rsidR="00C16390">
        <w:rPr>
          <w:szCs w:val="24"/>
        </w:rPr>
        <w:t xml:space="preserve">MAIO </w:t>
      </w:r>
      <w:r w:rsidRPr="00832B22">
        <w:rPr>
          <w:szCs w:val="24"/>
        </w:rPr>
        <w:t>DE 20</w:t>
      </w:r>
      <w:r w:rsidR="00727003">
        <w:rPr>
          <w:szCs w:val="24"/>
        </w:rPr>
        <w:t>21, 200º DA INDEPENDÊNCIA, 133</w:t>
      </w:r>
      <w:r w:rsidRPr="00832B22">
        <w:rPr>
          <w:szCs w:val="24"/>
        </w:rPr>
        <w:t>º DA REPÚBLICA.</w:t>
      </w:r>
    </w:p>
    <w:p w:rsidR="00850A22" w:rsidRDefault="00850A22" w:rsidP="001042A2">
      <w:pPr>
        <w:jc w:val="center"/>
        <w:rPr>
          <w:szCs w:val="24"/>
        </w:rPr>
      </w:pPr>
    </w:p>
    <w:p w:rsidR="00A178F1" w:rsidRPr="00832B22" w:rsidRDefault="00A178F1" w:rsidP="001042A2">
      <w:pPr>
        <w:jc w:val="center"/>
        <w:rPr>
          <w:szCs w:val="24"/>
        </w:rPr>
      </w:pPr>
    </w:p>
    <w:p w:rsidR="00850A22" w:rsidRPr="00832B22" w:rsidRDefault="00850A22" w:rsidP="00850A22">
      <w:pPr>
        <w:jc w:val="center"/>
        <w:rPr>
          <w:szCs w:val="24"/>
        </w:rPr>
      </w:pPr>
    </w:p>
    <w:p w:rsidR="00850A22" w:rsidRPr="00832B22" w:rsidRDefault="00850A22" w:rsidP="00850A22">
      <w:pPr>
        <w:jc w:val="center"/>
        <w:rPr>
          <w:szCs w:val="24"/>
        </w:rPr>
      </w:pPr>
      <w:r w:rsidRPr="00832B22">
        <w:rPr>
          <w:szCs w:val="24"/>
        </w:rPr>
        <w:t>FLÁVIO DINO</w:t>
      </w:r>
    </w:p>
    <w:p w:rsidR="00850A22" w:rsidRDefault="00850A22" w:rsidP="00850A22">
      <w:pPr>
        <w:jc w:val="center"/>
      </w:pPr>
      <w:r w:rsidRPr="00832B22">
        <w:rPr>
          <w:szCs w:val="24"/>
        </w:rPr>
        <w:t>Governador do Estado do Maranhão</w:t>
      </w:r>
    </w:p>
    <w:p w:rsidR="00487FE2" w:rsidRDefault="00487FE2">
      <w:bookmarkStart w:id="3" w:name="_GoBack"/>
      <w:bookmarkEnd w:id="3"/>
    </w:p>
    <w:sectPr w:rsidR="00487FE2" w:rsidSect="005B075C">
      <w:headerReference w:type="default" r:id="rId7"/>
      <w:pgSz w:w="11906" w:h="16838" w:code="9"/>
      <w:pgMar w:top="2835" w:right="851" w:bottom="1134" w:left="141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EF5" w:rsidRDefault="00FB3EF5" w:rsidP="00115615">
      <w:r>
        <w:separator/>
      </w:r>
    </w:p>
  </w:endnote>
  <w:endnote w:type="continuationSeparator" w:id="0">
    <w:p w:rsidR="00FB3EF5" w:rsidRDefault="00FB3EF5" w:rsidP="0011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EF5" w:rsidRDefault="00FB3EF5" w:rsidP="00115615">
      <w:r>
        <w:separator/>
      </w:r>
    </w:p>
  </w:footnote>
  <w:footnote w:type="continuationSeparator" w:id="0">
    <w:p w:rsidR="00FB3EF5" w:rsidRDefault="00FB3EF5" w:rsidP="00115615">
      <w:r>
        <w:continuationSeparator/>
      </w:r>
    </w:p>
  </w:footnote>
  <w:footnote w:id="1">
    <w:p w:rsidR="00B71B0B" w:rsidRPr="003F22EE" w:rsidRDefault="00B71B0B" w:rsidP="001E2775">
      <w:pPr>
        <w:pStyle w:val="Textodenotaderodap"/>
        <w:jc w:val="both"/>
        <w:rPr>
          <w:sz w:val="18"/>
          <w:szCs w:val="18"/>
        </w:rPr>
      </w:pPr>
      <w:r w:rsidRPr="00351D59">
        <w:rPr>
          <w:rStyle w:val="Refdenotaderodap"/>
          <w:sz w:val="18"/>
          <w:szCs w:val="18"/>
        </w:rPr>
        <w:footnoteRef/>
      </w:r>
      <w:r w:rsidRPr="003F22EE">
        <w:rPr>
          <w:sz w:val="18"/>
          <w:szCs w:val="18"/>
        </w:rPr>
        <w:t>Nesse sentido: J. J. GOMES CANOTILHO. Direito Constitucional e Teoria da Constituição. 3ª ed. Almedina: Coimbra, 1998; STF, ADI 3075, Relator(a): GILMAR MENDES, Tribunal Pleno, julgado em 24/09/2014, ACÓRDÃO ELETRÔNICO DJe-217 DIVULG 04-11-2014 PUBLIC 05-11-2014</w:t>
      </w:r>
    </w:p>
    <w:p w:rsidR="00B71B0B" w:rsidRPr="003F22EE" w:rsidRDefault="00B71B0B" w:rsidP="001E2775">
      <w:pPr>
        <w:pStyle w:val="Textodenotaderodap"/>
        <w:rPr>
          <w:sz w:val="18"/>
          <w:szCs w:val="18"/>
        </w:rPr>
      </w:pPr>
    </w:p>
  </w:footnote>
  <w:footnote w:id="2">
    <w:p w:rsidR="007D454B" w:rsidRPr="001A47F5" w:rsidRDefault="007D454B" w:rsidP="007D454B">
      <w:pPr>
        <w:pStyle w:val="Textodenotaderodap"/>
        <w:jc w:val="both"/>
        <w:rPr>
          <w:sz w:val="18"/>
          <w:szCs w:val="18"/>
        </w:rPr>
      </w:pPr>
      <w:r w:rsidRPr="001A47F5">
        <w:rPr>
          <w:rStyle w:val="Refdenotaderodap"/>
          <w:sz w:val="18"/>
          <w:szCs w:val="18"/>
        </w:rPr>
        <w:footnoteRef/>
      </w:r>
      <w:r w:rsidRPr="001A47F5">
        <w:rPr>
          <w:sz w:val="18"/>
          <w:szCs w:val="18"/>
        </w:rPr>
        <w:t xml:space="preserve"> </w:t>
      </w:r>
      <w:r w:rsidRPr="001A47F5">
        <w:rPr>
          <w:color w:val="000000"/>
          <w:sz w:val="18"/>
          <w:szCs w:val="18"/>
          <w:shd w:val="clear" w:color="auto" w:fill="FFFFFF"/>
        </w:rPr>
        <w:t>Art. 6º São direitos sociais a educação, a saúde, a alimentação, o trabalho, a moradia, o transporte, o lazer, a segurança, a previdência social, a proteção à maternidade e à infância, a assistência aos desamparados, na forma desta Constituição.</w:t>
      </w:r>
      <w:r w:rsidRPr="001A47F5">
        <w:rPr>
          <w:rFonts w:ascii="Arial" w:hAnsi="Arial" w:cs="Arial"/>
          <w:color w:val="000000"/>
          <w:sz w:val="18"/>
          <w:szCs w:val="18"/>
          <w:shd w:val="clear" w:color="auto" w:fill="FFFFFF"/>
        </w:rPr>
        <w:t> </w:t>
      </w:r>
    </w:p>
  </w:footnote>
  <w:footnote w:id="3">
    <w:p w:rsidR="007D454B" w:rsidRPr="001A47F5" w:rsidRDefault="007D454B" w:rsidP="007D454B">
      <w:pPr>
        <w:pStyle w:val="Textodenotaderodap"/>
        <w:jc w:val="both"/>
        <w:rPr>
          <w:sz w:val="18"/>
          <w:szCs w:val="18"/>
        </w:rPr>
      </w:pPr>
      <w:r w:rsidRPr="001A47F5">
        <w:rPr>
          <w:rStyle w:val="Refdenotaderodap"/>
          <w:sz w:val="18"/>
          <w:szCs w:val="18"/>
        </w:rPr>
        <w:footnoteRef/>
      </w:r>
      <w:r w:rsidRPr="001A47F5">
        <w:rPr>
          <w:sz w:val="18"/>
          <w:szCs w:val="18"/>
        </w:rPr>
        <w:t xml:space="preserve"> Art. 196. A saúde é direito de todos e dever do Estado, garantido mediante políticas sociais e econômicas que visem à redução do risco de doença e de outros agravos e ao acesso universal e igualitário às ações e serviços para sua promoção, proteção e recuperação.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B0B" w:rsidRDefault="00B71B0B" w:rsidP="005116F2">
    <w:pPr>
      <w:pStyle w:val="Cabealho"/>
      <w:tabs>
        <w:tab w:val="clear" w:pos="8504"/>
        <w:tab w:val="left" w:pos="7655"/>
        <w:tab w:val="left" w:pos="8364"/>
        <w:tab w:val="left" w:pos="9071"/>
      </w:tabs>
      <w:jc w:val="center"/>
    </w:pPr>
    <w:r>
      <w:rPr>
        <w:noProof/>
      </w:rPr>
      <w:drawing>
        <wp:inline distT="0" distB="0" distL="0" distR="0" wp14:anchorId="5C5E4DEF" wp14:editId="28E0A2D7">
          <wp:extent cx="821055" cy="816610"/>
          <wp:effectExtent l="0" t="0" r="0" b="2540"/>
          <wp:docPr id="1" name="Imagem 1"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816610"/>
                  </a:xfrm>
                  <a:prstGeom prst="rect">
                    <a:avLst/>
                  </a:prstGeom>
                  <a:noFill/>
                  <a:ln>
                    <a:noFill/>
                  </a:ln>
                </pic:spPr>
              </pic:pic>
            </a:graphicData>
          </a:graphic>
        </wp:inline>
      </w:drawing>
    </w:r>
  </w:p>
  <w:p w:rsidR="00B71B0B" w:rsidRPr="00927216" w:rsidRDefault="00B71B0B" w:rsidP="005116F2">
    <w:pPr>
      <w:pStyle w:val="Cabealho"/>
      <w:tabs>
        <w:tab w:val="clear" w:pos="8504"/>
        <w:tab w:val="left" w:pos="7655"/>
        <w:tab w:val="left" w:pos="8364"/>
        <w:tab w:val="left" w:pos="9071"/>
      </w:tabs>
      <w:jc w:val="center"/>
      <w:rPr>
        <w:rFonts w:ascii="Arial" w:hAnsi="Arial" w:cs="Arial"/>
        <w:b/>
        <w:w w:val="95"/>
        <w:szCs w:val="24"/>
      </w:rPr>
    </w:pPr>
    <w:r w:rsidRPr="00927216">
      <w:rPr>
        <w:rFonts w:ascii="Arial" w:hAnsi="Arial" w:cs="Arial"/>
        <w:b/>
        <w:w w:val="95"/>
        <w:szCs w:val="24"/>
      </w:rPr>
      <w:t>ESTADO DO MARANHÃO</w:t>
    </w:r>
  </w:p>
  <w:p w:rsidR="00B71B0B" w:rsidRDefault="00B71B0B" w:rsidP="005116F2">
    <w:pPr>
      <w:pStyle w:val="Cabealho"/>
      <w:tabs>
        <w:tab w:val="clear" w:pos="8504"/>
        <w:tab w:val="left" w:pos="7655"/>
        <w:tab w:val="left" w:pos="8364"/>
        <w:tab w:val="left" w:pos="9071"/>
      </w:tabs>
      <w:jc w:val="center"/>
      <w:rPr>
        <w:rFonts w:ascii="Arial" w:hAnsi="Arial" w:cs="Arial"/>
        <w:b/>
        <w:w w:val="95"/>
        <w:szCs w:val="24"/>
      </w:rPr>
    </w:pPr>
    <w:r w:rsidRPr="00927216">
      <w:rPr>
        <w:rFonts w:ascii="Arial" w:hAnsi="Arial" w:cs="Arial"/>
        <w:b/>
        <w:w w:val="95"/>
        <w:szCs w:val="24"/>
      </w:rPr>
      <w:t>GABINETE DO GOVERNADOR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63"/>
    <w:rsid w:val="00010F43"/>
    <w:rsid w:val="00034B39"/>
    <w:rsid w:val="00051961"/>
    <w:rsid w:val="000625CE"/>
    <w:rsid w:val="000A4CEF"/>
    <w:rsid w:val="000A5312"/>
    <w:rsid w:val="000B1791"/>
    <w:rsid w:val="000C3B7C"/>
    <w:rsid w:val="000C696C"/>
    <w:rsid w:val="000D0EF7"/>
    <w:rsid w:val="000F4B3D"/>
    <w:rsid w:val="001042A2"/>
    <w:rsid w:val="00105BDE"/>
    <w:rsid w:val="00115615"/>
    <w:rsid w:val="001156A6"/>
    <w:rsid w:val="00161A35"/>
    <w:rsid w:val="0017485B"/>
    <w:rsid w:val="0019589B"/>
    <w:rsid w:val="001A5E89"/>
    <w:rsid w:val="001B325F"/>
    <w:rsid w:val="001B53D8"/>
    <w:rsid w:val="001D5033"/>
    <w:rsid w:val="001E2775"/>
    <w:rsid w:val="0020118C"/>
    <w:rsid w:val="00231966"/>
    <w:rsid w:val="002329CF"/>
    <w:rsid w:val="00240749"/>
    <w:rsid w:val="0026199B"/>
    <w:rsid w:val="00264D53"/>
    <w:rsid w:val="002730E2"/>
    <w:rsid w:val="002966E7"/>
    <w:rsid w:val="002A4167"/>
    <w:rsid w:val="002A67AC"/>
    <w:rsid w:val="002D72CE"/>
    <w:rsid w:val="002E43E0"/>
    <w:rsid w:val="00306B09"/>
    <w:rsid w:val="00313CFC"/>
    <w:rsid w:val="00347C5C"/>
    <w:rsid w:val="0035252C"/>
    <w:rsid w:val="00354196"/>
    <w:rsid w:val="003615BC"/>
    <w:rsid w:val="00363B99"/>
    <w:rsid w:val="00372C8D"/>
    <w:rsid w:val="00381214"/>
    <w:rsid w:val="0038187A"/>
    <w:rsid w:val="003C2BA7"/>
    <w:rsid w:val="003F18D3"/>
    <w:rsid w:val="003F1950"/>
    <w:rsid w:val="003F6051"/>
    <w:rsid w:val="00404F9C"/>
    <w:rsid w:val="00426C83"/>
    <w:rsid w:val="00437818"/>
    <w:rsid w:val="00440EA4"/>
    <w:rsid w:val="00487FE2"/>
    <w:rsid w:val="004A2F6B"/>
    <w:rsid w:val="004A5CC8"/>
    <w:rsid w:val="004D4539"/>
    <w:rsid w:val="004F0A71"/>
    <w:rsid w:val="004F1372"/>
    <w:rsid w:val="0050148D"/>
    <w:rsid w:val="005116F2"/>
    <w:rsid w:val="00521666"/>
    <w:rsid w:val="00526DC7"/>
    <w:rsid w:val="00531E13"/>
    <w:rsid w:val="005334FE"/>
    <w:rsid w:val="00564583"/>
    <w:rsid w:val="005739C8"/>
    <w:rsid w:val="0058560A"/>
    <w:rsid w:val="00587FF1"/>
    <w:rsid w:val="00591092"/>
    <w:rsid w:val="00596F2F"/>
    <w:rsid w:val="005B075C"/>
    <w:rsid w:val="005B2CFD"/>
    <w:rsid w:val="005B6040"/>
    <w:rsid w:val="005E154B"/>
    <w:rsid w:val="005F39DE"/>
    <w:rsid w:val="00603ADF"/>
    <w:rsid w:val="0060529D"/>
    <w:rsid w:val="00611E7D"/>
    <w:rsid w:val="006158F7"/>
    <w:rsid w:val="006917CA"/>
    <w:rsid w:val="00693D4C"/>
    <w:rsid w:val="006A4F81"/>
    <w:rsid w:val="006B5A2E"/>
    <w:rsid w:val="007232DB"/>
    <w:rsid w:val="00727003"/>
    <w:rsid w:val="00731EB1"/>
    <w:rsid w:val="00745867"/>
    <w:rsid w:val="007561BD"/>
    <w:rsid w:val="00757005"/>
    <w:rsid w:val="0078763B"/>
    <w:rsid w:val="00787BD9"/>
    <w:rsid w:val="007A5BE3"/>
    <w:rsid w:val="007C1594"/>
    <w:rsid w:val="007C3F02"/>
    <w:rsid w:val="007D454B"/>
    <w:rsid w:val="007F0F09"/>
    <w:rsid w:val="007F1FCD"/>
    <w:rsid w:val="008024F0"/>
    <w:rsid w:val="00821320"/>
    <w:rsid w:val="00832B22"/>
    <w:rsid w:val="00833097"/>
    <w:rsid w:val="00850A22"/>
    <w:rsid w:val="008528BB"/>
    <w:rsid w:val="0085755C"/>
    <w:rsid w:val="00860A83"/>
    <w:rsid w:val="008847E6"/>
    <w:rsid w:val="008B677B"/>
    <w:rsid w:val="008C432C"/>
    <w:rsid w:val="008D24D0"/>
    <w:rsid w:val="008E60E8"/>
    <w:rsid w:val="008F59DB"/>
    <w:rsid w:val="009069BA"/>
    <w:rsid w:val="00932E78"/>
    <w:rsid w:val="009358FC"/>
    <w:rsid w:val="00970539"/>
    <w:rsid w:val="00983800"/>
    <w:rsid w:val="00997287"/>
    <w:rsid w:val="009A324B"/>
    <w:rsid w:val="009E2BE7"/>
    <w:rsid w:val="009E64F7"/>
    <w:rsid w:val="009F2E7D"/>
    <w:rsid w:val="00A032DA"/>
    <w:rsid w:val="00A04C97"/>
    <w:rsid w:val="00A1590E"/>
    <w:rsid w:val="00A178F1"/>
    <w:rsid w:val="00A353F2"/>
    <w:rsid w:val="00A4618E"/>
    <w:rsid w:val="00A533C2"/>
    <w:rsid w:val="00A71A51"/>
    <w:rsid w:val="00A9310B"/>
    <w:rsid w:val="00A93896"/>
    <w:rsid w:val="00AB2848"/>
    <w:rsid w:val="00AC3C63"/>
    <w:rsid w:val="00AE5136"/>
    <w:rsid w:val="00AF57A8"/>
    <w:rsid w:val="00AF7C73"/>
    <w:rsid w:val="00B14EF9"/>
    <w:rsid w:val="00B16A8B"/>
    <w:rsid w:val="00B220A4"/>
    <w:rsid w:val="00B273BD"/>
    <w:rsid w:val="00B319C7"/>
    <w:rsid w:val="00B371FD"/>
    <w:rsid w:val="00B51AB6"/>
    <w:rsid w:val="00B71B0B"/>
    <w:rsid w:val="00B71EF7"/>
    <w:rsid w:val="00B910EA"/>
    <w:rsid w:val="00BA612C"/>
    <w:rsid w:val="00BB653E"/>
    <w:rsid w:val="00BC445B"/>
    <w:rsid w:val="00BD1038"/>
    <w:rsid w:val="00C16390"/>
    <w:rsid w:val="00C35DE1"/>
    <w:rsid w:val="00C42F8E"/>
    <w:rsid w:val="00C53808"/>
    <w:rsid w:val="00C56FF2"/>
    <w:rsid w:val="00C86317"/>
    <w:rsid w:val="00CA315A"/>
    <w:rsid w:val="00CA3169"/>
    <w:rsid w:val="00CB5E8B"/>
    <w:rsid w:val="00CB6A6E"/>
    <w:rsid w:val="00CC3725"/>
    <w:rsid w:val="00CD1769"/>
    <w:rsid w:val="00D005F5"/>
    <w:rsid w:val="00D008AA"/>
    <w:rsid w:val="00D01FF7"/>
    <w:rsid w:val="00D0304B"/>
    <w:rsid w:val="00D11B3A"/>
    <w:rsid w:val="00D23BFB"/>
    <w:rsid w:val="00D31668"/>
    <w:rsid w:val="00D4382D"/>
    <w:rsid w:val="00D7604A"/>
    <w:rsid w:val="00DB30C0"/>
    <w:rsid w:val="00DF18E7"/>
    <w:rsid w:val="00E0125C"/>
    <w:rsid w:val="00E0220D"/>
    <w:rsid w:val="00E2602A"/>
    <w:rsid w:val="00E26BC2"/>
    <w:rsid w:val="00E357FB"/>
    <w:rsid w:val="00E4215A"/>
    <w:rsid w:val="00E5395F"/>
    <w:rsid w:val="00E859CE"/>
    <w:rsid w:val="00E95F2B"/>
    <w:rsid w:val="00EA4483"/>
    <w:rsid w:val="00EE3914"/>
    <w:rsid w:val="00EF2549"/>
    <w:rsid w:val="00F05E8F"/>
    <w:rsid w:val="00F44E51"/>
    <w:rsid w:val="00F45016"/>
    <w:rsid w:val="00F47E93"/>
    <w:rsid w:val="00F57E34"/>
    <w:rsid w:val="00F7121D"/>
    <w:rsid w:val="00F9448B"/>
    <w:rsid w:val="00FA45A9"/>
    <w:rsid w:val="00FB3EF5"/>
    <w:rsid w:val="00FC75BE"/>
    <w:rsid w:val="00FD5D4E"/>
    <w:rsid w:val="00FE0B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15FF7"/>
  <w15:docId w15:val="{DBD350FD-A9E7-40C4-BCDB-252B96B9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C63"/>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C3C63"/>
    <w:pPr>
      <w:tabs>
        <w:tab w:val="center" w:pos="4252"/>
        <w:tab w:val="right" w:pos="8504"/>
      </w:tabs>
    </w:pPr>
  </w:style>
  <w:style w:type="character" w:customStyle="1" w:styleId="CabealhoChar">
    <w:name w:val="Cabeçalho Char"/>
    <w:basedOn w:val="Fontepargpadro"/>
    <w:link w:val="Cabealho"/>
    <w:uiPriority w:val="99"/>
    <w:rsid w:val="00AC3C63"/>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nhideWhenUsed/>
    <w:qFormat/>
    <w:rsid w:val="00AC3C63"/>
    <w:rPr>
      <w:sz w:val="20"/>
    </w:rPr>
  </w:style>
  <w:style w:type="character" w:customStyle="1" w:styleId="TextodenotaderodapChar">
    <w:name w:val="Texto de nota de rodapé Char"/>
    <w:basedOn w:val="Fontepargpadro"/>
    <w:link w:val="Textodenotaderodap"/>
    <w:qFormat/>
    <w:rsid w:val="00AC3C63"/>
    <w:rPr>
      <w:rFonts w:ascii="Times New Roman" w:eastAsia="Times New Roman" w:hAnsi="Times New Roman" w:cs="Times New Roman"/>
      <w:sz w:val="20"/>
      <w:szCs w:val="20"/>
      <w:lang w:eastAsia="pt-BR"/>
    </w:rPr>
  </w:style>
  <w:style w:type="character" w:customStyle="1" w:styleId="apple-converted-space">
    <w:name w:val="apple-converted-space"/>
    <w:qFormat/>
    <w:rsid w:val="00AC3C63"/>
  </w:style>
  <w:style w:type="paragraph" w:styleId="Textodebalo">
    <w:name w:val="Balloon Text"/>
    <w:basedOn w:val="Normal"/>
    <w:link w:val="TextodebaloChar"/>
    <w:uiPriority w:val="99"/>
    <w:semiHidden/>
    <w:unhideWhenUsed/>
    <w:rsid w:val="00AC3C63"/>
    <w:rPr>
      <w:rFonts w:ascii="Tahoma" w:hAnsi="Tahoma" w:cs="Tahoma"/>
      <w:sz w:val="16"/>
      <w:szCs w:val="16"/>
    </w:rPr>
  </w:style>
  <w:style w:type="character" w:customStyle="1" w:styleId="TextodebaloChar">
    <w:name w:val="Texto de balão Char"/>
    <w:basedOn w:val="Fontepargpadro"/>
    <w:link w:val="Textodebalo"/>
    <w:uiPriority w:val="99"/>
    <w:semiHidden/>
    <w:rsid w:val="00AC3C63"/>
    <w:rPr>
      <w:rFonts w:ascii="Tahoma" w:eastAsia="Times New Roman" w:hAnsi="Tahoma" w:cs="Tahoma"/>
      <w:sz w:val="16"/>
      <w:szCs w:val="16"/>
      <w:lang w:eastAsia="pt-BR"/>
    </w:rPr>
  </w:style>
  <w:style w:type="character" w:styleId="Refdenotaderodap">
    <w:name w:val="footnote reference"/>
    <w:basedOn w:val="Fontepargpadro"/>
    <w:uiPriority w:val="99"/>
    <w:unhideWhenUsed/>
    <w:rsid w:val="00115615"/>
    <w:rPr>
      <w:vertAlign w:val="superscript"/>
    </w:rPr>
  </w:style>
  <w:style w:type="paragraph" w:styleId="NormalWeb">
    <w:name w:val="Normal (Web)"/>
    <w:basedOn w:val="Normal"/>
    <w:uiPriority w:val="99"/>
    <w:unhideWhenUsed/>
    <w:rsid w:val="0019589B"/>
    <w:pPr>
      <w:spacing w:before="100" w:beforeAutospacing="1" w:after="100" w:afterAutospacing="1"/>
    </w:pPr>
    <w:rPr>
      <w:szCs w:val="24"/>
    </w:rPr>
  </w:style>
  <w:style w:type="character" w:styleId="Hyperlink">
    <w:name w:val="Hyperlink"/>
    <w:basedOn w:val="Fontepargpadro"/>
    <w:uiPriority w:val="99"/>
    <w:semiHidden/>
    <w:unhideWhenUsed/>
    <w:rsid w:val="0019589B"/>
    <w:rPr>
      <w:color w:val="0000FF"/>
      <w:u w:val="single"/>
    </w:rPr>
  </w:style>
  <w:style w:type="character" w:customStyle="1" w:styleId="ncoradanotaderodap">
    <w:name w:val="Âncora da nota de rodapé"/>
    <w:rsid w:val="00850A22"/>
    <w:rPr>
      <w:vertAlign w:val="superscript"/>
    </w:rPr>
  </w:style>
  <w:style w:type="character" w:customStyle="1" w:styleId="FootnoteCharacters">
    <w:name w:val="Footnote Characters"/>
    <w:uiPriority w:val="99"/>
    <w:qFormat/>
    <w:rsid w:val="00850A22"/>
    <w:rPr>
      <w:vertAlign w:val="superscript"/>
    </w:rPr>
  </w:style>
  <w:style w:type="character" w:customStyle="1" w:styleId="Caracteresdenotaderodap">
    <w:name w:val="Caracteres de nota de rodapé"/>
    <w:qFormat/>
    <w:rsid w:val="00850A22"/>
  </w:style>
  <w:style w:type="paragraph" w:styleId="Rodap">
    <w:name w:val="footer"/>
    <w:basedOn w:val="Normal"/>
    <w:link w:val="RodapChar"/>
    <w:uiPriority w:val="99"/>
    <w:unhideWhenUsed/>
    <w:rsid w:val="00B371FD"/>
    <w:pPr>
      <w:tabs>
        <w:tab w:val="center" w:pos="4252"/>
        <w:tab w:val="right" w:pos="8504"/>
      </w:tabs>
    </w:pPr>
  </w:style>
  <w:style w:type="character" w:customStyle="1" w:styleId="RodapChar">
    <w:name w:val="Rodapé Char"/>
    <w:basedOn w:val="Fontepargpadro"/>
    <w:link w:val="Rodap"/>
    <w:uiPriority w:val="99"/>
    <w:rsid w:val="00B371FD"/>
    <w:rPr>
      <w:rFonts w:ascii="Times New Roman" w:eastAsia="Times New Roman" w:hAnsi="Times New Roman" w:cs="Times New Roman"/>
      <w:sz w:val="24"/>
      <w:szCs w:val="20"/>
      <w:lang w:eastAsia="pt-BR"/>
    </w:rPr>
  </w:style>
  <w:style w:type="character" w:styleId="Forte">
    <w:name w:val="Strong"/>
    <w:basedOn w:val="Fontepargpadro"/>
    <w:uiPriority w:val="22"/>
    <w:qFormat/>
    <w:rsid w:val="000C69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147503">
      <w:bodyDiv w:val="1"/>
      <w:marLeft w:val="0"/>
      <w:marRight w:val="0"/>
      <w:marTop w:val="0"/>
      <w:marBottom w:val="0"/>
      <w:divBdr>
        <w:top w:val="none" w:sz="0" w:space="0" w:color="auto"/>
        <w:left w:val="none" w:sz="0" w:space="0" w:color="auto"/>
        <w:bottom w:val="none" w:sz="0" w:space="0" w:color="auto"/>
        <w:right w:val="none" w:sz="0" w:space="0" w:color="auto"/>
      </w:divBdr>
    </w:div>
    <w:div w:id="1386369173">
      <w:bodyDiv w:val="1"/>
      <w:marLeft w:val="0"/>
      <w:marRight w:val="0"/>
      <w:marTop w:val="0"/>
      <w:marBottom w:val="0"/>
      <w:divBdr>
        <w:top w:val="none" w:sz="0" w:space="0" w:color="auto"/>
        <w:left w:val="none" w:sz="0" w:space="0" w:color="auto"/>
        <w:bottom w:val="none" w:sz="0" w:space="0" w:color="auto"/>
        <w:right w:val="none" w:sz="0" w:space="0" w:color="auto"/>
      </w:divBdr>
    </w:div>
    <w:div w:id="1442338835">
      <w:bodyDiv w:val="1"/>
      <w:marLeft w:val="0"/>
      <w:marRight w:val="0"/>
      <w:marTop w:val="0"/>
      <w:marBottom w:val="0"/>
      <w:divBdr>
        <w:top w:val="none" w:sz="0" w:space="0" w:color="auto"/>
        <w:left w:val="none" w:sz="0" w:space="0" w:color="auto"/>
        <w:bottom w:val="none" w:sz="0" w:space="0" w:color="auto"/>
        <w:right w:val="none" w:sz="0" w:space="0" w:color="auto"/>
      </w:divBdr>
    </w:div>
    <w:div w:id="20657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C9A6C-9BD3-45CD-B9EF-A3A6BA9DD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1767</Words>
  <Characters>9543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Governo do Maranhão</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Darlene Sousa Silva</cp:lastModifiedBy>
  <cp:revision>2</cp:revision>
  <cp:lastPrinted>2021-05-04T20:36:00Z</cp:lastPrinted>
  <dcterms:created xsi:type="dcterms:W3CDTF">2021-05-18T14:56:00Z</dcterms:created>
  <dcterms:modified xsi:type="dcterms:W3CDTF">2021-05-18T14:56:00Z</dcterms:modified>
</cp:coreProperties>
</file>