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AA0" w:rsidRPr="004C6098" w:rsidRDefault="00E32AA0" w:rsidP="00E32AA0">
      <w:pPr>
        <w:spacing w:line="360" w:lineRule="auto"/>
        <w:jc w:val="center"/>
        <w:rPr>
          <w:rFonts w:ascii="Times New Roman" w:hAnsi="Times New Roman" w:cs="Times New Roman"/>
          <w:b/>
          <w:sz w:val="24"/>
          <w:szCs w:val="24"/>
        </w:rPr>
      </w:pPr>
      <w:r w:rsidRPr="004C6098">
        <w:rPr>
          <w:rFonts w:ascii="Times New Roman" w:hAnsi="Times New Roman" w:cs="Times New Roman"/>
          <w:b/>
          <w:sz w:val="24"/>
          <w:szCs w:val="24"/>
        </w:rPr>
        <w:t>INDICAÇÃO Nº        /2021</w:t>
      </w:r>
    </w:p>
    <w:p w:rsidR="00E32AA0" w:rsidRPr="004C6098" w:rsidRDefault="00E32AA0" w:rsidP="00E32AA0">
      <w:pPr>
        <w:tabs>
          <w:tab w:val="left" w:pos="1134"/>
        </w:tabs>
        <w:spacing w:line="360" w:lineRule="auto"/>
        <w:rPr>
          <w:rFonts w:ascii="Times New Roman" w:hAnsi="Times New Roman" w:cs="Times New Roman"/>
          <w:sz w:val="24"/>
          <w:szCs w:val="24"/>
        </w:rPr>
      </w:pPr>
    </w:p>
    <w:p w:rsidR="00E32AA0" w:rsidRPr="004C6098" w:rsidRDefault="00E32AA0" w:rsidP="00E32AA0">
      <w:pPr>
        <w:tabs>
          <w:tab w:val="left" w:pos="1134"/>
        </w:tabs>
        <w:spacing w:line="360" w:lineRule="auto"/>
        <w:ind w:firstLine="993"/>
        <w:rPr>
          <w:rFonts w:ascii="Times New Roman" w:hAnsi="Times New Roman" w:cs="Times New Roman"/>
          <w:sz w:val="24"/>
          <w:szCs w:val="24"/>
        </w:rPr>
      </w:pPr>
      <w:r w:rsidRPr="004C6098">
        <w:rPr>
          <w:rFonts w:ascii="Times New Roman" w:hAnsi="Times New Roman" w:cs="Times New Roman"/>
          <w:sz w:val="24"/>
          <w:szCs w:val="24"/>
        </w:rPr>
        <w:t>Senhor Presidente,</w:t>
      </w:r>
    </w:p>
    <w:p w:rsidR="00EA4097" w:rsidRDefault="00E32AA0" w:rsidP="004C6098">
      <w:pPr>
        <w:tabs>
          <w:tab w:val="left" w:pos="1134"/>
        </w:tabs>
        <w:spacing w:line="360" w:lineRule="auto"/>
        <w:ind w:firstLine="993"/>
        <w:jc w:val="both"/>
        <w:rPr>
          <w:rFonts w:ascii="Times New Roman" w:hAnsi="Times New Roman" w:cs="Times New Roman"/>
          <w:sz w:val="24"/>
          <w:szCs w:val="24"/>
        </w:rPr>
      </w:pPr>
      <w:r w:rsidRPr="004C6098">
        <w:rPr>
          <w:rFonts w:ascii="Times New Roman" w:hAnsi="Times New Roman" w:cs="Times New Roman"/>
          <w:sz w:val="24"/>
          <w:szCs w:val="24"/>
        </w:rPr>
        <w:t xml:space="preserve">Nos termos do Art. 152 do Regimento Interno da Assembleia Legislativa do Estado do Maranhão, solicitamos que a presente Indicação seja encaminhada ao </w:t>
      </w:r>
      <w:r w:rsidRPr="00D378B7">
        <w:rPr>
          <w:rFonts w:ascii="Times New Roman" w:hAnsi="Times New Roman" w:cs="Times New Roman"/>
          <w:b/>
          <w:bCs/>
          <w:sz w:val="24"/>
          <w:szCs w:val="24"/>
        </w:rPr>
        <w:t xml:space="preserve">Excelentíssimo </w:t>
      </w:r>
      <w:r w:rsidR="000D01BD">
        <w:rPr>
          <w:rFonts w:ascii="Times New Roman" w:hAnsi="Times New Roman" w:cs="Times New Roman"/>
          <w:b/>
          <w:bCs/>
          <w:sz w:val="24"/>
          <w:szCs w:val="24"/>
        </w:rPr>
        <w:t>Defensor-Público Geral</w:t>
      </w:r>
      <w:r w:rsidR="00345105" w:rsidRPr="004C6098">
        <w:rPr>
          <w:rFonts w:ascii="Times New Roman" w:hAnsi="Times New Roman" w:cs="Times New Roman"/>
          <w:sz w:val="24"/>
          <w:szCs w:val="24"/>
        </w:rPr>
        <w:t>, o Senhor</w:t>
      </w:r>
      <w:r w:rsidR="000D01BD" w:rsidRPr="000D01BD">
        <w:t xml:space="preserve"> </w:t>
      </w:r>
      <w:r w:rsidR="000D01BD" w:rsidRPr="000D01BD">
        <w:rPr>
          <w:rFonts w:ascii="Times New Roman" w:hAnsi="Times New Roman" w:cs="Times New Roman"/>
          <w:b/>
          <w:bCs/>
          <w:sz w:val="24"/>
          <w:szCs w:val="24"/>
        </w:rPr>
        <w:t>Alberto Pessoa Bastos</w:t>
      </w:r>
      <w:r w:rsidR="000D01BD">
        <w:rPr>
          <w:rFonts w:ascii="Times New Roman" w:hAnsi="Times New Roman" w:cs="Times New Roman"/>
          <w:b/>
          <w:bCs/>
          <w:sz w:val="24"/>
          <w:szCs w:val="24"/>
        </w:rPr>
        <w:t>,</w:t>
      </w:r>
      <w:r w:rsidR="00345105" w:rsidRPr="004C6098">
        <w:rPr>
          <w:rFonts w:ascii="Times New Roman" w:hAnsi="Times New Roman" w:cs="Times New Roman"/>
          <w:sz w:val="24"/>
          <w:szCs w:val="24"/>
        </w:rPr>
        <w:t xml:space="preserve"> </w:t>
      </w:r>
      <w:r w:rsidRPr="004C6098">
        <w:rPr>
          <w:rFonts w:ascii="Times New Roman" w:hAnsi="Times New Roman" w:cs="Times New Roman"/>
          <w:sz w:val="24"/>
          <w:szCs w:val="24"/>
        </w:rPr>
        <w:t>com a devida indexação d</w:t>
      </w:r>
      <w:r w:rsidR="00EA4097">
        <w:rPr>
          <w:rFonts w:ascii="Times New Roman" w:hAnsi="Times New Roman" w:cs="Times New Roman"/>
          <w:sz w:val="24"/>
          <w:szCs w:val="24"/>
        </w:rPr>
        <w:t xml:space="preserve">a </w:t>
      </w:r>
      <w:r w:rsidR="00EA4097" w:rsidRPr="00EA4097">
        <w:rPr>
          <w:rFonts w:ascii="Times New Roman" w:hAnsi="Times New Roman" w:cs="Times New Roman"/>
          <w:b/>
          <w:bCs/>
          <w:sz w:val="24"/>
          <w:szCs w:val="24"/>
        </w:rPr>
        <w:t>representação</w:t>
      </w:r>
      <w:r w:rsidR="00EA4097">
        <w:rPr>
          <w:rFonts w:ascii="Times New Roman" w:hAnsi="Times New Roman" w:cs="Times New Roman"/>
          <w:sz w:val="24"/>
          <w:szCs w:val="24"/>
        </w:rPr>
        <w:t xml:space="preserve"> que justifica a solicitação de adoção de medidas para revacinação de idosos com mais de 70 anos de idade, pessoas com comorbidades e profissionais da saúde com mais de 60 anos que tenham sido vacinados com a </w:t>
      </w:r>
      <w:proofErr w:type="spellStart"/>
      <w:r w:rsidR="00EA4097">
        <w:rPr>
          <w:rFonts w:ascii="Times New Roman" w:hAnsi="Times New Roman" w:cs="Times New Roman"/>
          <w:sz w:val="24"/>
          <w:szCs w:val="24"/>
        </w:rPr>
        <w:t>CoronaVac</w:t>
      </w:r>
      <w:proofErr w:type="spellEnd"/>
      <w:r w:rsidR="00EA4097">
        <w:rPr>
          <w:rFonts w:ascii="Times New Roman" w:hAnsi="Times New Roman" w:cs="Times New Roman"/>
          <w:sz w:val="24"/>
          <w:szCs w:val="24"/>
        </w:rPr>
        <w:t xml:space="preserve">. </w:t>
      </w:r>
    </w:p>
    <w:p w:rsidR="00E32AA0" w:rsidRPr="004C6098" w:rsidRDefault="00E32AA0" w:rsidP="00E32AA0">
      <w:pPr>
        <w:tabs>
          <w:tab w:val="left" w:pos="1134"/>
        </w:tabs>
        <w:spacing w:line="360" w:lineRule="auto"/>
        <w:ind w:firstLine="993"/>
        <w:rPr>
          <w:rFonts w:ascii="Times New Roman" w:hAnsi="Times New Roman" w:cs="Times New Roman"/>
          <w:sz w:val="24"/>
          <w:szCs w:val="24"/>
        </w:rPr>
      </w:pPr>
      <w:r w:rsidRPr="004C6098">
        <w:rPr>
          <w:rFonts w:ascii="Times New Roman" w:hAnsi="Times New Roman" w:cs="Times New Roman"/>
          <w:sz w:val="24"/>
          <w:szCs w:val="24"/>
        </w:rPr>
        <w:t xml:space="preserve">Assembleia Legislativa do Estado do Maranhão, em </w:t>
      </w:r>
      <w:r w:rsidR="00EA4097">
        <w:rPr>
          <w:rFonts w:ascii="Times New Roman" w:hAnsi="Times New Roman" w:cs="Times New Roman"/>
          <w:sz w:val="24"/>
          <w:szCs w:val="24"/>
        </w:rPr>
        <w:t>9</w:t>
      </w:r>
      <w:r w:rsidR="004C6098" w:rsidRPr="004C6098">
        <w:rPr>
          <w:rFonts w:ascii="Times New Roman" w:hAnsi="Times New Roman" w:cs="Times New Roman"/>
          <w:sz w:val="24"/>
          <w:szCs w:val="24"/>
        </w:rPr>
        <w:t xml:space="preserve"> de </w:t>
      </w:r>
      <w:r w:rsidR="00EA4097">
        <w:rPr>
          <w:rFonts w:ascii="Times New Roman" w:hAnsi="Times New Roman" w:cs="Times New Roman"/>
          <w:sz w:val="24"/>
          <w:szCs w:val="24"/>
        </w:rPr>
        <w:t>junho</w:t>
      </w:r>
      <w:r w:rsidR="004C6098" w:rsidRPr="004C6098">
        <w:rPr>
          <w:rFonts w:ascii="Times New Roman" w:hAnsi="Times New Roman" w:cs="Times New Roman"/>
          <w:sz w:val="24"/>
          <w:szCs w:val="24"/>
        </w:rPr>
        <w:t xml:space="preserve"> de 2021</w:t>
      </w:r>
      <w:r w:rsidRPr="004C6098">
        <w:rPr>
          <w:rFonts w:ascii="Times New Roman" w:hAnsi="Times New Roman" w:cs="Times New Roman"/>
          <w:sz w:val="24"/>
          <w:szCs w:val="24"/>
        </w:rPr>
        <w:t>.</w:t>
      </w:r>
    </w:p>
    <w:p w:rsidR="00E32AA0" w:rsidRPr="004C6098" w:rsidRDefault="00E32AA0" w:rsidP="00E32AA0">
      <w:pPr>
        <w:tabs>
          <w:tab w:val="left" w:pos="1134"/>
        </w:tabs>
        <w:spacing w:line="360" w:lineRule="auto"/>
        <w:ind w:firstLine="993"/>
        <w:jc w:val="center"/>
        <w:rPr>
          <w:rFonts w:ascii="Times New Roman" w:hAnsi="Times New Roman" w:cs="Times New Roman"/>
          <w:sz w:val="24"/>
          <w:szCs w:val="24"/>
        </w:rPr>
      </w:pPr>
    </w:p>
    <w:p w:rsidR="00E32AA0" w:rsidRPr="004C6098" w:rsidRDefault="00E32AA0" w:rsidP="00E32AA0">
      <w:pPr>
        <w:jc w:val="center"/>
        <w:rPr>
          <w:rFonts w:ascii="Times New Roman" w:hAnsi="Times New Roman" w:cs="Times New Roman"/>
          <w:b/>
          <w:color w:val="000000" w:themeColor="text1"/>
          <w:sz w:val="24"/>
          <w:szCs w:val="24"/>
        </w:rPr>
      </w:pPr>
    </w:p>
    <w:p w:rsidR="00E32AA0" w:rsidRPr="004C6098" w:rsidRDefault="00E32AA0" w:rsidP="00CF2066">
      <w:pPr>
        <w:spacing w:after="0" w:line="240" w:lineRule="auto"/>
        <w:jc w:val="center"/>
        <w:rPr>
          <w:rFonts w:ascii="Times New Roman" w:hAnsi="Times New Roman" w:cs="Times New Roman"/>
          <w:b/>
          <w:color w:val="000000" w:themeColor="text1"/>
          <w:sz w:val="24"/>
          <w:szCs w:val="24"/>
        </w:rPr>
      </w:pPr>
      <w:r w:rsidRPr="004C6098">
        <w:rPr>
          <w:rFonts w:ascii="Times New Roman" w:hAnsi="Times New Roman" w:cs="Times New Roman"/>
          <w:b/>
          <w:color w:val="000000" w:themeColor="text1"/>
          <w:sz w:val="24"/>
          <w:szCs w:val="24"/>
        </w:rPr>
        <w:t xml:space="preserve">DR. YGLÉSIO </w:t>
      </w:r>
    </w:p>
    <w:p w:rsidR="00E32AA0" w:rsidRPr="004C6098" w:rsidRDefault="00E32AA0" w:rsidP="00CF2066">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4C6098">
        <w:rPr>
          <w:rFonts w:ascii="Times New Roman" w:hAnsi="Times New Roman" w:cs="Times New Roman"/>
          <w:b/>
          <w:color w:val="000000" w:themeColor="text1"/>
          <w:sz w:val="24"/>
          <w:szCs w:val="24"/>
        </w:rPr>
        <w:t xml:space="preserve">DEPUTADO ESTADUAL </w:t>
      </w:r>
    </w:p>
    <w:p w:rsidR="00D94A22" w:rsidRPr="000E64F7" w:rsidRDefault="00E32AA0" w:rsidP="00D94A22">
      <w:pPr>
        <w:tabs>
          <w:tab w:val="left" w:pos="851"/>
        </w:tabs>
        <w:spacing w:line="360" w:lineRule="auto"/>
        <w:jc w:val="both"/>
        <w:rPr>
          <w:rFonts w:ascii="Times New Roman" w:hAnsi="Times New Roman" w:cs="Times New Roman"/>
          <w:b/>
          <w:sz w:val="24"/>
          <w:szCs w:val="24"/>
        </w:rPr>
      </w:pPr>
      <w:r w:rsidRPr="004C6098">
        <w:rPr>
          <w:rFonts w:ascii="Times New Roman" w:hAnsi="Times New Roman" w:cs="Times New Roman"/>
          <w:sz w:val="24"/>
          <w:szCs w:val="24"/>
        </w:rPr>
        <w:br w:type="page"/>
      </w:r>
      <w:r w:rsidR="00D94A22" w:rsidRPr="000E64F7">
        <w:rPr>
          <w:rFonts w:ascii="Times New Roman" w:hAnsi="Times New Roman" w:cs="Times New Roman"/>
          <w:b/>
          <w:sz w:val="24"/>
          <w:szCs w:val="24"/>
        </w:rPr>
        <w:t xml:space="preserve">EXCELENTÍSSIMO SENHOR </w:t>
      </w:r>
      <w:r w:rsidR="00D94A22">
        <w:rPr>
          <w:rFonts w:ascii="Times New Roman" w:hAnsi="Times New Roman" w:cs="Times New Roman"/>
          <w:b/>
          <w:sz w:val="24"/>
          <w:szCs w:val="24"/>
        </w:rPr>
        <w:t>DEFENSOR PÚBLICO-GERAL DO ESTADO DO MARANHÃO.</w:t>
      </w: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Pr="00744334" w:rsidRDefault="00D94A22" w:rsidP="00D94A22">
      <w:pPr>
        <w:tabs>
          <w:tab w:val="left" w:pos="851"/>
        </w:tabs>
        <w:spacing w:line="360"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sidRPr="00181874">
        <w:rPr>
          <w:rFonts w:ascii="Times New Roman" w:hAnsi="Times New Roman" w:cs="Times New Roman"/>
          <w:sz w:val="24"/>
          <w:szCs w:val="24"/>
        </w:rPr>
        <w:t xml:space="preserve">O </w:t>
      </w:r>
      <w:r w:rsidRPr="00181874">
        <w:rPr>
          <w:rFonts w:ascii="Times New Roman" w:hAnsi="Times New Roman" w:cs="Times New Roman"/>
          <w:b/>
          <w:sz w:val="24"/>
          <w:szCs w:val="24"/>
        </w:rPr>
        <w:t>Deputado Estadual,</w:t>
      </w:r>
      <w:r w:rsidRPr="00181874">
        <w:rPr>
          <w:rFonts w:ascii="Times New Roman" w:hAnsi="Times New Roman" w:cs="Times New Roman"/>
          <w:sz w:val="24"/>
          <w:szCs w:val="24"/>
        </w:rPr>
        <w:t xml:space="preserve"> eleito para a legislatura 2019-2023, </w:t>
      </w:r>
      <w:r w:rsidRPr="00181874">
        <w:rPr>
          <w:rFonts w:ascii="Times New Roman" w:hAnsi="Times New Roman" w:cs="Times New Roman"/>
          <w:b/>
          <w:sz w:val="24"/>
          <w:szCs w:val="24"/>
        </w:rPr>
        <w:t>DR. YGLÉSIO LUCIANO MOYSÉS SILVA DE SOUZA</w:t>
      </w:r>
      <w:r w:rsidRPr="00181874">
        <w:rPr>
          <w:rFonts w:ascii="Times New Roman" w:hAnsi="Times New Roman" w:cs="Times New Roman"/>
          <w:sz w:val="24"/>
          <w:szCs w:val="24"/>
        </w:rPr>
        <w:t>, no exercício das atribuições que lhe foram conferidas pelo mandato, vem mui respeitosamente à presença de V. Excelência</w:t>
      </w:r>
      <w:r w:rsidRPr="00C1051A">
        <w:rPr>
          <w:rFonts w:ascii="Times New Roman" w:hAnsi="Times New Roman" w:cs="Times New Roman"/>
          <w:sz w:val="24"/>
          <w:szCs w:val="24"/>
        </w:rPr>
        <w:t>, propor a seguinte</w:t>
      </w:r>
      <w:r>
        <w:rPr>
          <w:rFonts w:ascii="Times New Roman" w:hAnsi="Times New Roman" w:cs="Times New Roman"/>
          <w:sz w:val="24"/>
          <w:szCs w:val="24"/>
        </w:rPr>
        <w:t xml:space="preserve"> </w:t>
      </w:r>
      <w:r>
        <w:rPr>
          <w:rFonts w:ascii="Times New Roman" w:hAnsi="Times New Roman" w:cs="Times New Roman"/>
          <w:b/>
          <w:bCs/>
          <w:sz w:val="24"/>
          <w:szCs w:val="24"/>
          <w:u w:val="single"/>
        </w:rPr>
        <w:t>REPRESENTAÇÃO,</w:t>
      </w:r>
      <w:r>
        <w:rPr>
          <w:rFonts w:ascii="Times New Roman" w:hAnsi="Times New Roman" w:cs="Times New Roman"/>
          <w:sz w:val="24"/>
          <w:szCs w:val="24"/>
        </w:rPr>
        <w:t xml:space="preserve"> apresentando para tanto os motivos de fato e razões de direito que passa a expor: </w:t>
      </w:r>
    </w:p>
    <w:p w:rsidR="00D94A22" w:rsidRPr="000E64F7" w:rsidRDefault="00D94A22" w:rsidP="00D94A22">
      <w:pPr>
        <w:tabs>
          <w:tab w:val="left" w:pos="851"/>
        </w:tabs>
        <w:spacing w:line="360" w:lineRule="auto"/>
        <w:jc w:val="both"/>
        <w:rPr>
          <w:rFonts w:ascii="Times New Roman" w:hAnsi="Times New Roman" w:cs="Times New Roman"/>
          <w:b/>
          <w:sz w:val="24"/>
          <w:szCs w:val="24"/>
        </w:rPr>
      </w:pPr>
      <w:r w:rsidRPr="000E64F7">
        <w:rPr>
          <w:rFonts w:ascii="Times New Roman" w:hAnsi="Times New Roman" w:cs="Times New Roman"/>
          <w:b/>
          <w:sz w:val="24"/>
          <w:szCs w:val="24"/>
        </w:rPr>
        <w:t>1.</w:t>
      </w:r>
      <w:r w:rsidRPr="000E64F7">
        <w:rPr>
          <w:rFonts w:ascii="Times New Roman" w:hAnsi="Times New Roman" w:cs="Times New Roman"/>
          <w:b/>
          <w:sz w:val="24"/>
          <w:szCs w:val="24"/>
        </w:rPr>
        <w:tab/>
        <w:t>DOS FATOS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mundo foi tomando pela pandemia ocasionada com a proliferação do novo </w:t>
      </w:r>
      <w:proofErr w:type="spellStart"/>
      <w:r>
        <w:rPr>
          <w:rFonts w:ascii="Times New Roman" w:hAnsi="Times New Roman" w:cs="Times New Roman"/>
          <w:sz w:val="24"/>
          <w:szCs w:val="24"/>
        </w:rPr>
        <w:t>coronavirus</w:t>
      </w:r>
      <w:proofErr w:type="spellEnd"/>
      <w:r>
        <w:rPr>
          <w:rFonts w:ascii="Times New Roman" w:hAnsi="Times New Roman" w:cs="Times New Roman"/>
          <w:sz w:val="24"/>
          <w:szCs w:val="24"/>
        </w:rPr>
        <w:t>. Wuhan, cidade chinesa, foi o epicentro da doença que se espalhou matando aproximadamente 3,73 milhões de pessoas, até hoje. No Brasil o processo adquiriu importância a partir de fevereiro de 2020, quando o primeiro caso da doença foi confirmado, na cidade de São Paulo</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Embora São Paulo tenha sido centro de infecção no Brasil, as demais cidades sofreram e sofrem com a proliferação da doença. Em Manaus, por exemplo, o sistema de saúde público e privado superou a capacidade de atendimento, de forma que vários pacientes foram transferidos para outras capitais em busca de atendimento médico</w:t>
      </w:r>
      <w:r>
        <w:rPr>
          <w:rStyle w:val="Refdenotaderodap"/>
          <w:rFonts w:ascii="Times New Roman" w:hAnsi="Times New Roman" w:cs="Times New Roman"/>
          <w:sz w:val="24"/>
          <w:szCs w:val="24"/>
        </w:rPr>
        <w:footnoteReference w:id="2"/>
      </w:r>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Maranhão, nesse processo, manteve os atendimentos médicos recorrendo a hospitais de campanha, em conjunto com determinações de restrição. O </w:t>
      </w:r>
      <w:proofErr w:type="spellStart"/>
      <w:r>
        <w:rPr>
          <w:rFonts w:ascii="Times New Roman" w:hAnsi="Times New Roman" w:cs="Times New Roman"/>
          <w:sz w:val="24"/>
          <w:szCs w:val="24"/>
        </w:rPr>
        <w:t>lockdown</w:t>
      </w:r>
      <w:proofErr w:type="spellEnd"/>
      <w:r>
        <w:rPr>
          <w:rFonts w:ascii="Times New Roman" w:hAnsi="Times New Roman" w:cs="Times New Roman"/>
          <w:sz w:val="24"/>
          <w:szCs w:val="24"/>
        </w:rPr>
        <w:t xml:space="preserve"> foi medida judicial</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que evitou, em primeiro momento, o colapso do sistema de saúde, seguido de várias determinações oficiais do Governo para impedir aglomerações de quaisquer ordens.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primeira onda da COVID-19 foi registrada em meados de 2020, amenizada no último trimestre daquele ano. Retomando o pico de casos em 2021 nos meses de abril e maio. Junho está sob análise, mas há quem defenda que o mês será o de maior infecção. O Secretário de Estado da Saúde chamou de possível terceira onda, bem pior que a primeira.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atenção se volta ao fato de vacinação em massa da população. Desde o dia 17 de janeiro de 2021, no Brasil, iniciou-se o processo de vacinação da população. Os principais imunizantes aplicados na população brasileira estão sendo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e a Pfizer.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Embora o processo tenha sido considerado tardio quando comparado a outros países, houve necessidade de flexibilização de critérios técnicos pela Agência Nacional de Vigilância Sanitária, com vistas a aprovar os imunizantes.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por exemplo, obteve apenas registro para uso emergencial, ao passo que a Pfizer foi a única que protocolou pedido para liberação em caráter definitivo.</w:t>
      </w:r>
      <w:r>
        <w:rPr>
          <w:rStyle w:val="Refdenotaderodap"/>
          <w:rFonts w:ascii="Times New Roman" w:hAnsi="Times New Roman" w:cs="Times New Roman"/>
          <w:sz w:val="24"/>
          <w:szCs w:val="24"/>
        </w:rPr>
        <w:footnoteReference w:id="4"/>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Em estudo preliminar realizado pelo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com 13 mil voluntários, chegou-se aos seguintes índices: 50,38% de eficácia geral, isso significa que 49,62% dos imunizados estão sujeitos a desenvolver a doença em algum grau; dos 49,62%, 78% desenvolverão a doença de forma leve. Sendo que 100% dos infectados e já vacinados pela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estariam protegidos contra a forma grave da doença, e, por conseguinte, protegidos de internações e mortes.  De fato, a Diretoria Colegiada da Anvisa aprovou em caráter temporário o uso emergencial da vacina.</w:t>
      </w:r>
      <w:r>
        <w:rPr>
          <w:rStyle w:val="Refdenotaderodap"/>
          <w:rFonts w:ascii="Times New Roman" w:hAnsi="Times New Roman" w:cs="Times New Roman"/>
          <w:sz w:val="24"/>
          <w:szCs w:val="24"/>
        </w:rPr>
        <w:footnoteReference w:id="5"/>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senso de urgência sobrepôs-se aos critérios técnicos, ao ponto da Agência de Vigilância Sanitária firmar termo de compromisso com 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visando apresentação de informações técnicas sobre a imunogenicidade.</w:t>
      </w:r>
      <w:r>
        <w:rPr>
          <w:rStyle w:val="Refdenotaderodap"/>
          <w:rFonts w:ascii="Times New Roman" w:hAnsi="Times New Roman" w:cs="Times New Roman"/>
          <w:sz w:val="24"/>
          <w:szCs w:val="24"/>
        </w:rPr>
        <w:footnoteReference w:id="6"/>
      </w:r>
      <w:r>
        <w:rPr>
          <w:rFonts w:ascii="Times New Roman" w:hAnsi="Times New Roman" w:cs="Times New Roman"/>
          <w:sz w:val="24"/>
          <w:szCs w:val="24"/>
        </w:rPr>
        <w:t xml:space="preserve">  </w:t>
      </w:r>
    </w:p>
    <w:p w:rsidR="00D94A22" w:rsidRPr="008E4919" w:rsidRDefault="00D94A22" w:rsidP="00D94A22">
      <w:pPr>
        <w:tabs>
          <w:tab w:val="left" w:pos="851"/>
        </w:tabs>
        <w:spacing w:line="360" w:lineRule="auto"/>
        <w:jc w:val="both"/>
        <w:rPr>
          <w:rFonts w:ascii="Times New Roman" w:hAnsi="Times New Roman" w:cs="Times New Roman"/>
          <w:sz w:val="24"/>
          <w:szCs w:val="24"/>
        </w:rPr>
      </w:pPr>
      <w:r w:rsidRPr="008E4919">
        <w:rPr>
          <w:rFonts w:ascii="Times New Roman" w:hAnsi="Times New Roman" w:cs="Times New Roman"/>
          <w:sz w:val="24"/>
          <w:szCs w:val="24"/>
        </w:rPr>
        <w:tab/>
        <w:t>É fato que o parecer técnico</w:t>
      </w:r>
      <w:r>
        <w:rPr>
          <w:rStyle w:val="Refdenotaderodap"/>
          <w:rFonts w:ascii="Times New Roman" w:hAnsi="Times New Roman" w:cs="Times New Roman"/>
          <w:sz w:val="24"/>
          <w:szCs w:val="24"/>
        </w:rPr>
        <w:footnoteReference w:id="7"/>
      </w:r>
      <w:r w:rsidRPr="008E4919">
        <w:rPr>
          <w:rFonts w:ascii="Times New Roman" w:hAnsi="Times New Roman" w:cs="Times New Roman"/>
          <w:sz w:val="24"/>
          <w:szCs w:val="24"/>
        </w:rPr>
        <w:t xml:space="preserve"> emitido pelo órgão oficial consta:</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“O Plano de Gerenciamento de Risco [USO EMERGENCIAL], Versão 3.2, da Vacina adsorvida COVID-19 (inativada) do Instituto </w:t>
      </w:r>
      <w:proofErr w:type="spellStart"/>
      <w:r w:rsidRPr="000E64F7">
        <w:rPr>
          <w:rFonts w:ascii="Times New Roman" w:hAnsi="Times New Roman" w:cs="Times New Roman"/>
          <w:szCs w:val="24"/>
        </w:rPr>
        <w:t>Butantan</w:t>
      </w:r>
      <w:proofErr w:type="spellEnd"/>
      <w:r w:rsidRPr="000E64F7">
        <w:rPr>
          <w:rFonts w:ascii="Times New Roman" w:hAnsi="Times New Roman" w:cs="Times New Roman"/>
          <w:szCs w:val="24"/>
        </w:rPr>
        <w:t xml:space="preserve">, no âmbito dos requisitos de Farmacovigilância, se apresenta em conformidade com o Guia nº 42/2020, a RDC nº 444/2020, a RDC nº 406/2020 e a IN nº 63/2020. Desta forma, as medidas adotadas para o gerenciamento de risco da vacina parecem ser compatíveis com o perfil de segurança conhecido até o momento. </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Contudo, ressalta-se que </w:t>
      </w:r>
      <w:r w:rsidRPr="000E64F7">
        <w:rPr>
          <w:rFonts w:ascii="Times New Roman" w:hAnsi="Times New Roman" w:cs="Times New Roman"/>
          <w:b/>
          <w:bCs/>
          <w:szCs w:val="24"/>
        </w:rPr>
        <w:t>as ações de monitoramento propostas pela empresa ou a serem desencadeadas pela Anvisa não substituem as avaliações necessárias de qualidade, segurança e eficácia exigidas para a concessão de autorização de uso emergencial da vacina por esta Agência.</w:t>
      </w:r>
      <w:r w:rsidRPr="000E64F7">
        <w:rPr>
          <w:rFonts w:ascii="Times New Roman" w:hAnsi="Times New Roman" w:cs="Times New Roman"/>
          <w:szCs w:val="24"/>
        </w:rPr>
        <w:t xml:space="preserve"> Desta forma, não há garantias de que o impacto da ausência de quaisquer informações/documentos estabelecidos pelo Guia nº 42/2020 e pela RDC nº 444/2020 para autorização de uso emergencial de vacinas poderá ser amenizado pela execução de ações da Farmacovigilância.”</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Importante relatar que o voto</w:t>
      </w:r>
      <w:r>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ficou adstrito ao cumprimento do termo de compromisso, senão vejamos:</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“Esta aprovação temporária está condicionada às Cláusulas estabelecidas no Termo de Compromisso já assinado e publicado no Diário Oficial da União na data de 17/01/2021.”</w:t>
      </w:r>
    </w:p>
    <w:p w:rsidR="00D94A22" w:rsidRDefault="00D94A22" w:rsidP="00D94A2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Ocorre que pacientes idosos regularmente vacinados com as duas doses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estão evoluindo para a forma grave da doença. O caso do cantor Agnaldo Timóteo</w:t>
      </w:r>
      <w:r>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que morreu recentemente é, mais um dos exemplos de óbito vacinados pela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Vários outros casos movimentaram a imprensa como a morte de Nelson Sargento, 96 anos, e a não imunização de Ricardo </w:t>
      </w:r>
      <w:proofErr w:type="spellStart"/>
      <w:r>
        <w:rPr>
          <w:rFonts w:ascii="Times New Roman" w:hAnsi="Times New Roman" w:cs="Times New Roman"/>
          <w:sz w:val="24"/>
          <w:szCs w:val="24"/>
        </w:rPr>
        <w:t>Noblat</w:t>
      </w:r>
      <w:proofErr w:type="spellEnd"/>
      <w:r>
        <w:rPr>
          <w:rFonts w:ascii="Times New Roman" w:hAnsi="Times New Roman" w:cs="Times New Roman"/>
          <w:sz w:val="24"/>
          <w:szCs w:val="24"/>
        </w:rPr>
        <w:t xml:space="preserve">, colunista do Metrópoles e do conterrâneo José Sarney. Após a segunda dose da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esses dois últimos não produziram anticorpos.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É importante considerar que esses últimos tiveram a chance de testar a imunização e identificar a ineficácia da vacina, por serem pessoas públicas, com grau de instrução elevado e condições financeiras propícias. O custo do exame, praticado no mercado local, é de aproximadamente R$ 230,00</w:t>
      </w:r>
      <w:r>
        <w:rPr>
          <w:rStyle w:val="Refdenotaderodap"/>
          <w:rFonts w:ascii="Times New Roman" w:hAnsi="Times New Roman" w:cs="Times New Roman"/>
          <w:sz w:val="24"/>
          <w:szCs w:val="24"/>
        </w:rPr>
        <w:footnoteReference w:id="10"/>
      </w:r>
      <w:r>
        <w:rPr>
          <w:rFonts w:ascii="Times New Roman" w:hAnsi="Times New Roman" w:cs="Times New Roman"/>
          <w:sz w:val="24"/>
          <w:szCs w:val="24"/>
        </w:rPr>
        <w:t xml:space="preserve">.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Caso mundialmente relevante é do Chile. A </w:t>
      </w:r>
      <w:r w:rsidRPr="005A65B4">
        <w:rPr>
          <w:rFonts w:ascii="Times New Roman" w:hAnsi="Times New Roman" w:cs="Times New Roman"/>
          <w:i/>
          <w:iCs/>
          <w:sz w:val="24"/>
          <w:szCs w:val="24"/>
        </w:rPr>
        <w:t>priori</w:t>
      </w:r>
      <w:r>
        <w:rPr>
          <w:rFonts w:ascii="Times New Roman" w:hAnsi="Times New Roman" w:cs="Times New Roman"/>
          <w:i/>
          <w:iCs/>
          <w:sz w:val="24"/>
          <w:szCs w:val="24"/>
        </w:rPr>
        <w:t>,</w:t>
      </w:r>
      <w:r>
        <w:rPr>
          <w:rFonts w:ascii="Times New Roman" w:hAnsi="Times New Roman" w:cs="Times New Roman"/>
          <w:sz w:val="24"/>
          <w:szCs w:val="24"/>
        </w:rPr>
        <w:t xml:space="preserve"> o país celebrou eficácia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de 67% e considerou o imunizante divisor de águas. A revista Isto É</w:t>
      </w:r>
      <w:r>
        <w:rPr>
          <w:rStyle w:val="Refdenotaderodap"/>
          <w:rFonts w:ascii="Times New Roman" w:hAnsi="Times New Roman" w:cs="Times New Roman"/>
          <w:sz w:val="24"/>
          <w:szCs w:val="24"/>
        </w:rPr>
        <w:footnoteReference w:id="11"/>
      </w:r>
      <w:r>
        <w:rPr>
          <w:rFonts w:ascii="Times New Roman" w:hAnsi="Times New Roman" w:cs="Times New Roman"/>
          <w:sz w:val="24"/>
          <w:szCs w:val="24"/>
        </w:rPr>
        <w:t xml:space="preserve"> publicou artigo relatando:</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A </w:t>
      </w:r>
      <w:proofErr w:type="spellStart"/>
      <w:r w:rsidRPr="000E64F7">
        <w:rPr>
          <w:rFonts w:ascii="Times New Roman" w:hAnsi="Times New Roman" w:cs="Times New Roman"/>
          <w:szCs w:val="24"/>
        </w:rPr>
        <w:t>CoronaVac</w:t>
      </w:r>
      <w:proofErr w:type="spellEnd"/>
      <w:r w:rsidRPr="000E64F7">
        <w:rPr>
          <w:rFonts w:ascii="Times New Roman" w:hAnsi="Times New Roman" w:cs="Times New Roman"/>
          <w:szCs w:val="24"/>
        </w:rPr>
        <w:t xml:space="preserve">, vacina contra Covid-19 da empresa chinesa </w:t>
      </w:r>
      <w:proofErr w:type="spellStart"/>
      <w:r w:rsidRPr="000E64F7">
        <w:rPr>
          <w:rFonts w:ascii="Times New Roman" w:hAnsi="Times New Roman" w:cs="Times New Roman"/>
          <w:szCs w:val="24"/>
        </w:rPr>
        <w:t>Sinovac</w:t>
      </w:r>
      <w:proofErr w:type="spellEnd"/>
      <w:r w:rsidRPr="000E64F7">
        <w:rPr>
          <w:rFonts w:ascii="Times New Roman" w:hAnsi="Times New Roman" w:cs="Times New Roman"/>
          <w:szCs w:val="24"/>
        </w:rPr>
        <w:t xml:space="preserve">, mostrou-se 67% eficaz na prevenção de infecções sintomáticas em estudo feito com dados do mundo real, informou o governo do Chile nesta sexta-feira, em um potencial impulso para a vacina que está sob escrutínio sobre seu nível de proteção contra o vírus.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foi a mais utilizada na campanha de imunização pelo Chile</w:t>
      </w:r>
      <w:r>
        <w:rPr>
          <w:rStyle w:val="Refdenotaderodap"/>
          <w:rFonts w:ascii="Times New Roman" w:hAnsi="Times New Roman" w:cs="Times New Roman"/>
          <w:sz w:val="24"/>
          <w:szCs w:val="24"/>
        </w:rPr>
        <w:footnoteReference w:id="12"/>
      </w:r>
      <w:r>
        <w:rPr>
          <w:rFonts w:ascii="Times New Roman" w:hAnsi="Times New Roman" w:cs="Times New Roman"/>
          <w:sz w:val="24"/>
          <w:szCs w:val="24"/>
        </w:rPr>
        <w:t>, todavia os resultados reais demonstram que não houve retração da doença, segue gráfico:</w:t>
      </w: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r w:rsidRPr="00AE743A">
        <w:rPr>
          <w:rFonts w:ascii="Times New Roman" w:hAnsi="Times New Roman" w:cs="Times New Roman"/>
          <w:noProof/>
          <w:sz w:val="24"/>
          <w:szCs w:val="24"/>
        </w:rPr>
        <w:drawing>
          <wp:inline distT="0" distB="0" distL="0" distR="0" wp14:anchorId="16E81AE8" wp14:editId="615D070D">
            <wp:extent cx="4505325" cy="249878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8856" cy="2522927"/>
                    </a:xfrm>
                    <a:prstGeom prst="rect">
                      <a:avLst/>
                    </a:prstGeom>
                    <a:noFill/>
                    <a:ln>
                      <a:noFill/>
                    </a:ln>
                  </pic:spPr>
                </pic:pic>
              </a:graphicData>
            </a:graphic>
          </wp:inline>
        </w:drawing>
      </w: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países que utilizaram as vacinas com melhor tecnologia, como Pfizer e Moderna, por exemplo, tal qual, Israel Estados Unidos e Reino Unido, efetivamente obtiveram o controle da doença. Nenhum desses países fez uso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B35584">
        <w:rPr>
          <w:rFonts w:ascii="Times New Roman" w:hAnsi="Times New Roman" w:cs="Times New Roman"/>
          <w:noProof/>
          <w:sz w:val="24"/>
          <w:szCs w:val="24"/>
        </w:rPr>
        <w:drawing>
          <wp:inline distT="0" distB="0" distL="0" distR="0" wp14:anchorId="48E47695" wp14:editId="7FA60B71">
            <wp:extent cx="2552700" cy="2549604"/>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543" cy="2579411"/>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B35584">
        <w:rPr>
          <w:rFonts w:ascii="Times New Roman" w:hAnsi="Times New Roman" w:cs="Times New Roman"/>
          <w:noProof/>
          <w:sz w:val="24"/>
          <w:szCs w:val="24"/>
        </w:rPr>
        <w:drawing>
          <wp:inline distT="0" distB="0" distL="0" distR="0" wp14:anchorId="2011DBAC" wp14:editId="6825256E">
            <wp:extent cx="2924175" cy="259217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8212" cy="2622349"/>
                    </a:xfrm>
                    <a:prstGeom prst="rect">
                      <a:avLst/>
                    </a:prstGeom>
                    <a:noFill/>
                    <a:ln>
                      <a:noFill/>
                    </a:ln>
                  </pic:spPr>
                </pic:pic>
              </a:graphicData>
            </a:graphic>
          </wp:inline>
        </w:drawing>
      </w:r>
    </w:p>
    <w:p w:rsidR="00D94A22" w:rsidRDefault="00D94A22" w:rsidP="00D94A22">
      <w:pPr>
        <w:tabs>
          <w:tab w:val="left" w:pos="851"/>
        </w:tabs>
        <w:spacing w:line="360" w:lineRule="auto"/>
        <w:jc w:val="center"/>
        <w:rPr>
          <w:rFonts w:ascii="Times New Roman" w:hAnsi="Times New Roman" w:cs="Times New Roman"/>
          <w:sz w:val="24"/>
          <w:szCs w:val="24"/>
        </w:rPr>
      </w:pPr>
      <w:r w:rsidRPr="00B35584">
        <w:rPr>
          <w:rFonts w:ascii="Times New Roman" w:hAnsi="Times New Roman" w:cs="Times New Roman"/>
          <w:noProof/>
          <w:sz w:val="24"/>
          <w:szCs w:val="24"/>
        </w:rPr>
        <w:drawing>
          <wp:inline distT="0" distB="0" distL="0" distR="0" wp14:anchorId="7419E5E4" wp14:editId="2095627A">
            <wp:extent cx="2886075" cy="337408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415" cy="3386174"/>
                    </a:xfrm>
                    <a:prstGeom prst="rect">
                      <a:avLst/>
                    </a:prstGeom>
                    <a:noFill/>
                    <a:ln>
                      <a:noFill/>
                    </a:ln>
                  </pic:spPr>
                </pic:pic>
              </a:graphicData>
            </a:graphic>
          </wp:inline>
        </w:drawing>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É importante asseverar que todos os países citados, conforme gráficos colacionados, têm taxa de vacinação que se assemelham, a divergência encontra-se, tão somente, no tipo de vacina utilizada. De fato, o Chile, com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possui o pior desempenho no que se refere ao controle de infecções pelo vírus </w:t>
      </w:r>
      <w:proofErr w:type="spellStart"/>
      <w:r>
        <w:rPr>
          <w:rFonts w:ascii="Times New Roman" w:hAnsi="Times New Roman" w:cs="Times New Roman"/>
          <w:sz w:val="24"/>
          <w:szCs w:val="24"/>
        </w:rPr>
        <w:t>sars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cov</w:t>
      </w:r>
      <w:proofErr w:type="spellEnd"/>
      <w:r>
        <w:rPr>
          <w:rFonts w:ascii="Times New Roman" w:hAnsi="Times New Roman" w:cs="Times New Roman"/>
          <w:sz w:val="24"/>
          <w:szCs w:val="24"/>
        </w:rPr>
        <w:t xml:space="preserve"> 2.</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Contrapondo-se aos dados apresentados pelo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na fase 3 da pesquisa, o estudo realizado pela </w:t>
      </w:r>
      <w:proofErr w:type="spellStart"/>
      <w:r w:rsidRPr="000E64F7">
        <w:rPr>
          <w:rFonts w:ascii="Times New Roman" w:hAnsi="Times New Roman" w:cs="Times New Roman"/>
          <w:i/>
          <w:sz w:val="24"/>
          <w:szCs w:val="24"/>
        </w:rPr>
        <w:t>Vaccine</w:t>
      </w:r>
      <w:proofErr w:type="spellEnd"/>
      <w:r w:rsidRPr="000E64F7">
        <w:rPr>
          <w:rFonts w:ascii="Times New Roman" w:hAnsi="Times New Roman" w:cs="Times New Roman"/>
          <w:i/>
          <w:sz w:val="24"/>
          <w:szCs w:val="24"/>
        </w:rPr>
        <w:t xml:space="preserve"> </w:t>
      </w:r>
      <w:proofErr w:type="spellStart"/>
      <w:r w:rsidRPr="000E64F7">
        <w:rPr>
          <w:rFonts w:ascii="Times New Roman" w:hAnsi="Times New Roman" w:cs="Times New Roman"/>
          <w:i/>
          <w:sz w:val="24"/>
          <w:szCs w:val="24"/>
        </w:rPr>
        <w:t>Effectiveness</w:t>
      </w:r>
      <w:proofErr w:type="spellEnd"/>
      <w:r w:rsidRPr="000E64F7">
        <w:rPr>
          <w:rFonts w:ascii="Times New Roman" w:hAnsi="Times New Roman" w:cs="Times New Roman"/>
          <w:i/>
          <w:sz w:val="24"/>
          <w:szCs w:val="24"/>
        </w:rPr>
        <w:t xml:space="preserve"> in Brasil </w:t>
      </w:r>
      <w:proofErr w:type="spellStart"/>
      <w:r w:rsidRPr="000E64F7">
        <w:rPr>
          <w:rFonts w:ascii="Times New Roman" w:hAnsi="Times New Roman" w:cs="Times New Roman"/>
          <w:i/>
          <w:sz w:val="24"/>
          <w:szCs w:val="24"/>
        </w:rPr>
        <w:t>Against</w:t>
      </w:r>
      <w:proofErr w:type="spellEnd"/>
      <w:r w:rsidRPr="000E64F7">
        <w:rPr>
          <w:rFonts w:ascii="Times New Roman" w:hAnsi="Times New Roman" w:cs="Times New Roman"/>
          <w:i/>
          <w:sz w:val="24"/>
          <w:szCs w:val="24"/>
        </w:rPr>
        <w:t xml:space="preserve"> Covid-19 </w:t>
      </w:r>
      <w:r>
        <w:rPr>
          <w:rFonts w:ascii="Times New Roman" w:hAnsi="Times New Roman" w:cs="Times New Roman"/>
          <w:sz w:val="24"/>
          <w:szCs w:val="24"/>
        </w:rPr>
        <w:t>(</w:t>
      </w:r>
      <w:proofErr w:type="spellStart"/>
      <w:r>
        <w:rPr>
          <w:rFonts w:ascii="Times New Roman" w:hAnsi="Times New Roman" w:cs="Times New Roman"/>
          <w:sz w:val="24"/>
          <w:szCs w:val="24"/>
        </w:rPr>
        <w:t>Vebra</w:t>
      </w:r>
      <w:proofErr w:type="spellEnd"/>
      <w:r>
        <w:rPr>
          <w:rFonts w:ascii="Times New Roman" w:hAnsi="Times New Roman" w:cs="Times New Roman"/>
          <w:sz w:val="24"/>
          <w:szCs w:val="24"/>
        </w:rPr>
        <w:t xml:space="preserve"> Covid-19), financiada pela Organização Pan-americana de Saúde, órgão da OMS, apontou que a efetividade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de apenas 42% em idosos com mais de 70 anos.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estudo foi desenvolvido com a seleção de </w:t>
      </w:r>
      <w:r w:rsidRPr="001F598E">
        <w:rPr>
          <w:rFonts w:ascii="Times New Roman" w:hAnsi="Times New Roman" w:cs="Times New Roman"/>
          <w:sz w:val="24"/>
          <w:szCs w:val="24"/>
        </w:rPr>
        <w:t xml:space="preserve">7.950 pares (homens e mulheres), com idade </w:t>
      </w:r>
      <w:r>
        <w:rPr>
          <w:rFonts w:ascii="Times New Roman" w:hAnsi="Times New Roman" w:cs="Times New Roman"/>
          <w:sz w:val="24"/>
          <w:szCs w:val="24"/>
        </w:rPr>
        <w:t>média</w:t>
      </w:r>
      <w:r w:rsidRPr="001F598E">
        <w:rPr>
          <w:rFonts w:ascii="Times New Roman" w:hAnsi="Times New Roman" w:cs="Times New Roman"/>
          <w:sz w:val="24"/>
          <w:szCs w:val="24"/>
        </w:rPr>
        <w:t xml:space="preserve"> de 76 anos. A eficácia </w:t>
      </w:r>
      <w:r>
        <w:rPr>
          <w:rFonts w:ascii="Times New Roman" w:hAnsi="Times New Roman" w:cs="Times New Roman"/>
          <w:sz w:val="24"/>
          <w:szCs w:val="24"/>
        </w:rPr>
        <w:t xml:space="preserve">média </w:t>
      </w:r>
      <w:r w:rsidRPr="001F598E">
        <w:rPr>
          <w:rFonts w:ascii="Times New Roman" w:hAnsi="Times New Roman" w:cs="Times New Roman"/>
          <w:sz w:val="24"/>
          <w:szCs w:val="24"/>
        </w:rPr>
        <w:t xml:space="preserve">da vacina ajustada </w:t>
      </w:r>
      <w:r>
        <w:rPr>
          <w:rFonts w:ascii="Times New Roman" w:hAnsi="Times New Roman" w:cs="Times New Roman"/>
          <w:sz w:val="24"/>
          <w:szCs w:val="24"/>
        </w:rPr>
        <w:t>apresentou os seguintes resultados:</w:t>
      </w:r>
    </w:p>
    <w:p w:rsidR="00D94A22" w:rsidRPr="00FB3EBC"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FB3EBC">
        <w:rPr>
          <w:rFonts w:ascii="Times New Roman" w:hAnsi="Times New Roman" w:cs="Times New Roman"/>
          <w:b/>
          <w:bCs/>
          <w:sz w:val="24"/>
          <w:szCs w:val="24"/>
          <w:u w:val="single"/>
        </w:rPr>
        <w:t>APENAS</w:t>
      </w:r>
      <w:r w:rsidRPr="00FB3EBC">
        <w:rPr>
          <w:rFonts w:ascii="Times New Roman" w:hAnsi="Times New Roman" w:cs="Times New Roman"/>
          <w:sz w:val="24"/>
          <w:szCs w:val="24"/>
        </w:rPr>
        <w:t xml:space="preserve"> 18,2% nos testes realizados entre 0-13 dias após a segunda dose, com intervalo de confiança IC que varia entre 0,0% a 33,2%. Isso significa que</w:t>
      </w:r>
      <w:r>
        <w:rPr>
          <w:rFonts w:ascii="Times New Roman" w:hAnsi="Times New Roman" w:cs="Times New Roman"/>
          <w:sz w:val="24"/>
          <w:szCs w:val="24"/>
        </w:rPr>
        <w:t>,</w:t>
      </w:r>
      <w:r w:rsidRPr="00FB3EBC">
        <w:rPr>
          <w:rFonts w:ascii="Times New Roman" w:hAnsi="Times New Roman" w:cs="Times New Roman"/>
          <w:sz w:val="24"/>
          <w:szCs w:val="24"/>
        </w:rPr>
        <w:t xml:space="preserve"> os primeiros treze dias após a segunda dose, os vacinados podem </w:t>
      </w:r>
      <w:r>
        <w:rPr>
          <w:rFonts w:ascii="Times New Roman" w:hAnsi="Times New Roman" w:cs="Times New Roman"/>
          <w:sz w:val="24"/>
          <w:szCs w:val="24"/>
        </w:rPr>
        <w:t xml:space="preserve">apresentar </w:t>
      </w:r>
      <w:r w:rsidRPr="00FB3EBC">
        <w:rPr>
          <w:rFonts w:ascii="Times New Roman" w:hAnsi="Times New Roman" w:cs="Times New Roman"/>
          <w:sz w:val="24"/>
          <w:szCs w:val="24"/>
        </w:rPr>
        <w:t xml:space="preserve">entre 0% de imunidade até 33%. Nos testes refeitos após 14 dias da segunda dose a eficácia chegou a 41,6%, com intervalo de confiança IC que varia entre 26,9% até 53,3%. Em geral, isso comprova a baixa eficácia da </w:t>
      </w:r>
      <w:proofErr w:type="spellStart"/>
      <w:r w:rsidRPr="00FB3EBC">
        <w:rPr>
          <w:rFonts w:ascii="Times New Roman" w:hAnsi="Times New Roman" w:cs="Times New Roman"/>
          <w:sz w:val="24"/>
          <w:szCs w:val="24"/>
        </w:rPr>
        <w:t>CoronaVac</w:t>
      </w:r>
      <w:proofErr w:type="spellEnd"/>
      <w:r w:rsidRPr="00FB3EBC">
        <w:rPr>
          <w:rFonts w:ascii="Times New Roman" w:hAnsi="Times New Roman" w:cs="Times New Roman"/>
          <w:sz w:val="24"/>
          <w:szCs w:val="24"/>
        </w:rPr>
        <w:t>, que chegar a ter imunidade INFERIOR aos 50% determinados pela OMS</w:t>
      </w:r>
      <w:r>
        <w:rPr>
          <w:rFonts w:ascii="Times New Roman" w:hAnsi="Times New Roman" w:cs="Times New Roman"/>
          <w:sz w:val="24"/>
          <w:szCs w:val="24"/>
        </w:rPr>
        <w:t>;</w:t>
      </w:r>
    </w:p>
    <w:p w:rsidR="00D94A22"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FB3EBC">
        <w:rPr>
          <w:rFonts w:ascii="Times New Roman" w:hAnsi="Times New Roman" w:cs="Times New Roman"/>
          <w:sz w:val="24"/>
          <w:szCs w:val="24"/>
        </w:rPr>
        <w:t>61,8% para indivíduos com idade entre 70 e 74 com intervalo de confiança IC que varia entre 34,4% até 77,7%</w:t>
      </w:r>
      <w:r>
        <w:rPr>
          <w:rFonts w:ascii="Times New Roman" w:hAnsi="Times New Roman" w:cs="Times New Roman"/>
          <w:sz w:val="24"/>
          <w:szCs w:val="24"/>
        </w:rPr>
        <w:t xml:space="preserve"> de imunidade; </w:t>
      </w:r>
    </w:p>
    <w:p w:rsidR="00D94A22"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6F147A">
        <w:rPr>
          <w:rFonts w:ascii="Times New Roman" w:hAnsi="Times New Roman" w:cs="Times New Roman"/>
          <w:sz w:val="24"/>
          <w:szCs w:val="24"/>
        </w:rPr>
        <w:t>48,9% nos indivíduos entre 75 e 79 anos, com intervalo de confiança IC que varia entre 23,3% até 66%</w:t>
      </w:r>
      <w:r>
        <w:rPr>
          <w:rFonts w:ascii="Times New Roman" w:hAnsi="Times New Roman" w:cs="Times New Roman"/>
          <w:sz w:val="24"/>
          <w:szCs w:val="24"/>
        </w:rPr>
        <w:t xml:space="preserve"> de imunidade; e</w:t>
      </w:r>
    </w:p>
    <w:p w:rsidR="00D94A22"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o </w:t>
      </w:r>
      <w:r w:rsidRPr="006F147A">
        <w:rPr>
          <w:rFonts w:ascii="Times New Roman" w:hAnsi="Times New Roman" w:cs="Times New Roman"/>
          <w:b/>
          <w:bCs/>
          <w:sz w:val="24"/>
          <w:szCs w:val="24"/>
        </w:rPr>
        <w:t>ÍNFIMO</w:t>
      </w:r>
      <w:r w:rsidRPr="006F147A">
        <w:rPr>
          <w:rFonts w:ascii="Times New Roman" w:hAnsi="Times New Roman" w:cs="Times New Roman"/>
          <w:sz w:val="24"/>
          <w:szCs w:val="24"/>
        </w:rPr>
        <w:t xml:space="preserve"> percentual de 28% para indivíduos com idade igual ou maior que 80 anos com intervalo de confiança IC que varia entre 0,6% até 47,9%</w:t>
      </w:r>
      <w:r>
        <w:rPr>
          <w:rFonts w:ascii="Times New Roman" w:hAnsi="Times New Roman" w:cs="Times New Roman"/>
          <w:sz w:val="24"/>
          <w:szCs w:val="24"/>
        </w:rPr>
        <w:t xml:space="preserve"> de imunidade</w:t>
      </w:r>
      <w:r w:rsidRPr="006F147A">
        <w:rPr>
          <w:rFonts w:ascii="Times New Roman" w:hAnsi="Times New Roman" w:cs="Times New Roman"/>
          <w:sz w:val="24"/>
          <w:szCs w:val="24"/>
        </w:rPr>
        <w:t>.</w:t>
      </w:r>
      <w:r>
        <w:rPr>
          <w:rFonts w:ascii="Times New Roman" w:hAnsi="Times New Roman" w:cs="Times New Roman"/>
          <w:sz w:val="24"/>
          <w:szCs w:val="24"/>
        </w:rPr>
        <w:t xml:space="preserve">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Fato é que, </w:t>
      </w:r>
      <w:r w:rsidRPr="006F147A">
        <w:rPr>
          <w:rFonts w:ascii="Times New Roman" w:hAnsi="Times New Roman" w:cs="Times New Roman"/>
          <w:sz w:val="24"/>
          <w:szCs w:val="24"/>
        </w:rPr>
        <w:t>mesmo com a segunda dose</w:t>
      </w:r>
      <w:r>
        <w:rPr>
          <w:rFonts w:ascii="Times New Roman" w:hAnsi="Times New Roman" w:cs="Times New Roman"/>
          <w:sz w:val="24"/>
          <w:szCs w:val="24"/>
        </w:rPr>
        <w:t xml:space="preserve"> remanesce a probabilidade real de um subgrupo de idosos terem até menos de 1% de chance de adquirirem imunidade com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Nas hipóteses de idosos com mais de 80 anos, mesmo considerando o intervalo de confiança máximo (47,9%), o valor está ABAIXO do mínimo estabelecido pela OMS para se considerar uma vacina eficaz, que é de 50%.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Essas informações contrapõem-se aos dados apresentados até o momento pelo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sob o ponto de vista da eficácia da vacina para esse público específico, bem como para pessoas com comorbidades e profissionais de saúde com idade igual ou superior a 60 anos, tendo em vista a exposição ao vírus, por ser mais intensa. </w:t>
      </w:r>
    </w:p>
    <w:p w:rsidR="00D94A22" w:rsidRDefault="00D94A22" w:rsidP="00D94A22">
      <w:pPr>
        <w:tabs>
          <w:tab w:val="left" w:pos="851"/>
        </w:tabs>
        <w:spacing w:line="360" w:lineRule="auto"/>
        <w:jc w:val="both"/>
        <w:rPr>
          <w:rFonts w:ascii="Times New Roman" w:hAnsi="Times New Roman" w:cs="Times New Roman"/>
          <w:sz w:val="24"/>
          <w:szCs w:val="24"/>
        </w:rPr>
      </w:pPr>
      <w:r w:rsidRPr="00FB3EBC">
        <w:rPr>
          <w:rFonts w:ascii="Times New Roman" w:hAnsi="Times New Roman" w:cs="Times New Roman"/>
          <w:sz w:val="24"/>
          <w:szCs w:val="24"/>
        </w:rPr>
        <w:tab/>
        <w:t xml:space="preserve">O estudo foi incisivo em concluir que idosos com idade igual ou superior a 70 anos não apresentam respostas imunológicas significativas com a primeira dose da </w:t>
      </w:r>
      <w:proofErr w:type="spellStart"/>
      <w:r w:rsidRPr="00FB3EBC">
        <w:rPr>
          <w:rFonts w:ascii="Times New Roman" w:hAnsi="Times New Roman" w:cs="Times New Roman"/>
          <w:sz w:val="24"/>
          <w:szCs w:val="24"/>
        </w:rPr>
        <w:t>CoronaVac</w:t>
      </w:r>
      <w:proofErr w:type="spellEnd"/>
      <w:r w:rsidRPr="00FB3EBC">
        <w:rPr>
          <w:rFonts w:ascii="Times New Roman" w:hAnsi="Times New Roman" w:cs="Times New Roman"/>
          <w:sz w:val="24"/>
          <w:szCs w:val="24"/>
        </w:rPr>
        <w:t>, tendo em vista que é amplo e notório a diferença entre as demais vacinas que apresentam resposta imunol</w:t>
      </w:r>
      <w:r>
        <w:rPr>
          <w:rFonts w:ascii="Times New Roman" w:hAnsi="Times New Roman" w:cs="Times New Roman"/>
          <w:sz w:val="24"/>
          <w:szCs w:val="24"/>
        </w:rPr>
        <w:t xml:space="preserve">ógica com a primeira dose. Esse dado é preocupante por gerar falsa expectativa de segurança para o grupo mais vulnerável.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O</w:t>
      </w:r>
      <w:r w:rsidRPr="00C95FFF">
        <w:rPr>
          <w:rFonts w:ascii="Times New Roman" w:hAnsi="Times New Roman" w:cs="Times New Roman"/>
          <w:sz w:val="24"/>
          <w:szCs w:val="24"/>
        </w:rPr>
        <w:t xml:space="preserve"> diretor da Sociedade Brasileira de Imunizações (</w:t>
      </w:r>
      <w:proofErr w:type="spellStart"/>
      <w:r w:rsidRPr="00C95FFF">
        <w:rPr>
          <w:rFonts w:ascii="Times New Roman" w:hAnsi="Times New Roman" w:cs="Times New Roman"/>
          <w:sz w:val="24"/>
          <w:szCs w:val="24"/>
        </w:rPr>
        <w:t>SBIm</w:t>
      </w:r>
      <w:proofErr w:type="spellEnd"/>
      <w:r w:rsidRPr="00C95FFF">
        <w:rPr>
          <w:rFonts w:ascii="Times New Roman" w:hAnsi="Times New Roman" w:cs="Times New Roman"/>
          <w:sz w:val="24"/>
          <w:szCs w:val="24"/>
        </w:rPr>
        <w:t xml:space="preserve">), Renato </w:t>
      </w:r>
      <w:proofErr w:type="spellStart"/>
      <w:r w:rsidRPr="00C95FFF">
        <w:rPr>
          <w:rFonts w:ascii="Times New Roman" w:hAnsi="Times New Roman" w:cs="Times New Roman"/>
          <w:sz w:val="24"/>
          <w:szCs w:val="24"/>
        </w:rPr>
        <w:t>Kfouri</w:t>
      </w:r>
      <w:proofErr w:type="spellEnd"/>
      <w:r>
        <w:rPr>
          <w:rFonts w:ascii="Times New Roman" w:hAnsi="Times New Roman" w:cs="Times New Roman"/>
          <w:sz w:val="24"/>
          <w:szCs w:val="24"/>
        </w:rPr>
        <w:t>, em entrevista recente no programa Jovem Pan</w:t>
      </w:r>
      <w:r>
        <w:rPr>
          <w:rStyle w:val="Refdenotaderodap"/>
          <w:rFonts w:ascii="Times New Roman" w:hAnsi="Times New Roman" w:cs="Times New Roman"/>
          <w:sz w:val="24"/>
          <w:szCs w:val="24"/>
        </w:rPr>
        <w:footnoteReference w:id="13"/>
      </w:r>
      <w:r>
        <w:rPr>
          <w:rFonts w:ascii="Times New Roman" w:hAnsi="Times New Roman" w:cs="Times New Roman"/>
          <w:sz w:val="24"/>
          <w:szCs w:val="24"/>
        </w:rPr>
        <w:t>, explicou:</w:t>
      </w:r>
    </w:p>
    <w:p w:rsidR="00D94A22" w:rsidRDefault="00D94A22" w:rsidP="00D94A22">
      <w:pPr>
        <w:tabs>
          <w:tab w:val="left" w:pos="851"/>
        </w:tabs>
        <w:spacing w:line="360" w:lineRule="auto"/>
        <w:ind w:left="2835"/>
        <w:jc w:val="both"/>
        <w:rPr>
          <w:rFonts w:ascii="Times New Roman" w:hAnsi="Times New Roman" w:cs="Times New Roman"/>
          <w:sz w:val="24"/>
          <w:szCs w:val="24"/>
        </w:rPr>
      </w:pPr>
      <w:r w:rsidRPr="00C95FFF">
        <w:rPr>
          <w:rFonts w:ascii="Times New Roman" w:hAnsi="Times New Roman" w:cs="Times New Roman"/>
          <w:sz w:val="24"/>
          <w:szCs w:val="24"/>
        </w:rPr>
        <w:t xml:space="preserve"> </w:t>
      </w:r>
      <w:r w:rsidRPr="000E64F7">
        <w:rPr>
          <w:rFonts w:ascii="Times New Roman" w:hAnsi="Times New Roman" w:cs="Times New Roman"/>
          <w:szCs w:val="24"/>
        </w:rPr>
        <w:t>“O efeito clássico de qualquer vacina é que, com um envelhecimento do sistema imunológico, o indivíduo tenha mais dificuldade em responder a ela</w:t>
      </w:r>
      <w:r w:rsidRPr="000E64F7">
        <w:rPr>
          <w:rFonts w:ascii="Times New Roman" w:hAnsi="Times New Roman" w:cs="Times New Roman"/>
          <w:b/>
          <w:szCs w:val="24"/>
        </w:rPr>
        <w:t>. O mesmo mecanismo que faz com que um idoso pegue Covid-19 e tenha maior chance de ter a forma grave da doença, porque o seu sistema imunológico não é tão habilitado quanto um mais jovem, e isso faz com que ele responda menos à vacina</w:t>
      </w:r>
      <w:r w:rsidRPr="000E64F7">
        <w:rPr>
          <w:rFonts w:ascii="Times New Roman" w:hAnsi="Times New Roman" w:cs="Times New Roman"/>
          <w:szCs w:val="24"/>
        </w:rPr>
        <w:t xml:space="preserve">.” </w:t>
      </w:r>
      <w:r>
        <w:rPr>
          <w:rFonts w:ascii="Times New Roman" w:hAnsi="Times New Roman" w:cs="Times New Roman"/>
          <w:szCs w:val="24"/>
        </w:rPr>
        <w:t xml:space="preserve"> (grifo nosso).</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Nesse mesmo sentido o Diretor do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Dimas Covas, durante a CPI da Covid-19 explicou:  </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“Na realidade, o índice de indução de anticorpos em pessoas idosas é de 98%. Portanto, não é 100%. Pessoas idosas têm um fenômeno biológico chamado </w:t>
      </w:r>
      <w:proofErr w:type="spellStart"/>
      <w:r w:rsidRPr="000E64F7">
        <w:rPr>
          <w:rFonts w:ascii="Times New Roman" w:hAnsi="Times New Roman" w:cs="Times New Roman"/>
          <w:szCs w:val="24"/>
        </w:rPr>
        <w:t>imunossenescência</w:t>
      </w:r>
      <w:proofErr w:type="spellEnd"/>
      <w:r w:rsidRPr="000E64F7">
        <w:rPr>
          <w:rFonts w:ascii="Times New Roman" w:hAnsi="Times New Roman" w:cs="Times New Roman"/>
          <w:szCs w:val="24"/>
        </w:rPr>
        <w:t xml:space="preserve">. </w:t>
      </w:r>
      <w:r w:rsidRPr="000E64F7">
        <w:rPr>
          <w:rFonts w:ascii="Times New Roman" w:hAnsi="Times New Roman" w:cs="Times New Roman"/>
          <w:b/>
          <w:szCs w:val="24"/>
        </w:rPr>
        <w:t>Os idosos respondem menos na produção de anticorpos em relação aos indivíduos mais jovens</w:t>
      </w:r>
      <w:r w:rsidRPr="000E64F7">
        <w:rPr>
          <w:rFonts w:ascii="Times New Roman" w:hAnsi="Times New Roman" w:cs="Times New Roman"/>
          <w:szCs w:val="24"/>
        </w:rPr>
        <w:t xml:space="preserve">. Por isso que não é 100% de </w:t>
      </w:r>
      <w:proofErr w:type="spellStart"/>
      <w:r w:rsidRPr="000E64F7">
        <w:rPr>
          <w:rFonts w:ascii="Times New Roman" w:hAnsi="Times New Roman" w:cs="Times New Roman"/>
          <w:szCs w:val="24"/>
        </w:rPr>
        <w:t>soroconversão</w:t>
      </w:r>
      <w:proofErr w:type="spellEnd"/>
      <w:r w:rsidRPr="000E64F7">
        <w:rPr>
          <w:rFonts w:ascii="Times New Roman" w:hAnsi="Times New Roman" w:cs="Times New Roman"/>
          <w:szCs w:val="24"/>
        </w:rPr>
        <w:t>”</w:t>
      </w:r>
      <w:r>
        <w:rPr>
          <w:rFonts w:ascii="Times New Roman" w:hAnsi="Times New Roman" w:cs="Times New Roman"/>
          <w:szCs w:val="24"/>
        </w:rPr>
        <w:t xml:space="preserve"> (grifo nosso).</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presidente do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ainda proferiu</w:t>
      </w:r>
      <w:r>
        <w:rPr>
          <w:rStyle w:val="Refdenotaderodap"/>
          <w:rFonts w:ascii="Times New Roman" w:hAnsi="Times New Roman" w:cs="Times New Roman"/>
          <w:sz w:val="24"/>
          <w:szCs w:val="24"/>
        </w:rPr>
        <w:footnoteReference w:id="14"/>
      </w:r>
      <w:r>
        <w:rPr>
          <w:rFonts w:ascii="Times New Roman" w:hAnsi="Times New Roman" w:cs="Times New Roman"/>
          <w:sz w:val="24"/>
          <w:szCs w:val="24"/>
        </w:rPr>
        <w:t xml:space="preserve"> o seguinte entendimento:</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"Com relação a uma dose adicional, uma terceira dose – eu não tenho chamado de terceira dose, mas de </w:t>
      </w:r>
      <w:r w:rsidRPr="00D94A22">
        <w:rPr>
          <w:rFonts w:ascii="Times New Roman" w:hAnsi="Times New Roman" w:cs="Times New Roman"/>
          <w:b/>
        </w:rPr>
        <w:t>dose de reforço</w:t>
      </w:r>
      <w:r w:rsidRPr="00D94A22">
        <w:rPr>
          <w:rFonts w:ascii="Times New Roman" w:hAnsi="Times New Roman" w:cs="Times New Roman"/>
        </w:rPr>
        <w:t xml:space="preserve"> –, isso será necessário neste momento para todas as vacinas, não só em relação à própria duração da imunidade, na minha opinião, é claro, como também em relação às variantes".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bem da verdade, a tecnologia utilizada na fabricação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quase medieval e consiste no uso do vírus inativado, posto incapacidade de replicação. O processo de imunização demanda tempo, além de ser essencial a necessidade de dose de reforço para ser eficaz.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Outros imunizantes como a Oxford-</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e Pfizer possuem tecnologias mais atuais e modernas. A base da vacina Pfizer é mRNA, que utiliza RNA</w:t>
      </w:r>
      <w:r>
        <w:rPr>
          <w:rStyle w:val="Refdenotaderodap"/>
          <w:rFonts w:ascii="Times New Roman" w:hAnsi="Times New Roman" w:cs="Times New Roman"/>
          <w:sz w:val="24"/>
          <w:szCs w:val="24"/>
        </w:rPr>
        <w:footnoteReference w:id="15"/>
      </w:r>
      <w:r>
        <w:rPr>
          <w:rFonts w:ascii="Times New Roman" w:hAnsi="Times New Roman" w:cs="Times New Roman"/>
          <w:sz w:val="24"/>
          <w:szCs w:val="24"/>
        </w:rPr>
        <w:t>,  mensageiro sintético que auxilia o organismo do indivíduo a gerar anticorpos contra o vírus. A escolha do processo de fabricação justificou-se pelo potencial de alta resposta, segurança e celeridade na produção. A tecnologia pioneira permite agilidade em modificação do antígeno codificado no caso de novas variantes o que é importante no cenário de pandemias e epidemias.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Por outro lado, a vacina da Oxford-</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utiliza tecnologia inovadora que consiste na utilização de um adenovírus modificado geneticamente para comportar parte do </w:t>
      </w:r>
      <w:proofErr w:type="spellStart"/>
      <w:r>
        <w:rPr>
          <w:rFonts w:ascii="Times New Roman" w:hAnsi="Times New Roman" w:cs="Times New Roman"/>
          <w:sz w:val="24"/>
          <w:szCs w:val="24"/>
        </w:rPr>
        <w:t>coronavirus</w:t>
      </w:r>
      <w:proofErr w:type="spellEnd"/>
      <w:r>
        <w:rPr>
          <w:rFonts w:ascii="Times New Roman" w:hAnsi="Times New Roman" w:cs="Times New Roman"/>
          <w:sz w:val="24"/>
          <w:szCs w:val="24"/>
        </w:rPr>
        <w:t>, especificamente, a proteína ‘</w:t>
      </w:r>
      <w:proofErr w:type="spellStart"/>
      <w:r>
        <w:rPr>
          <w:rFonts w:ascii="Times New Roman" w:hAnsi="Times New Roman" w:cs="Times New Roman"/>
          <w:sz w:val="24"/>
          <w:szCs w:val="24"/>
        </w:rPr>
        <w:t>spike</w:t>
      </w:r>
      <w:proofErr w:type="spellEnd"/>
      <w:r>
        <w:rPr>
          <w:rFonts w:ascii="Times New Roman" w:hAnsi="Times New Roman" w:cs="Times New Roman"/>
          <w:sz w:val="24"/>
          <w:szCs w:val="24"/>
        </w:rPr>
        <w:t>’</w:t>
      </w:r>
      <w:r>
        <w:rPr>
          <w:rStyle w:val="Refdenotaderodap"/>
          <w:rFonts w:ascii="Times New Roman" w:hAnsi="Times New Roman" w:cs="Times New Roman"/>
          <w:sz w:val="24"/>
          <w:szCs w:val="24"/>
        </w:rPr>
        <w:footnoteReference w:id="16"/>
      </w:r>
      <w:r>
        <w:rPr>
          <w:rFonts w:ascii="Times New Roman" w:hAnsi="Times New Roman" w:cs="Times New Roman"/>
          <w:sz w:val="24"/>
          <w:szCs w:val="24"/>
        </w:rPr>
        <w:t xml:space="preserve">, o que a torna mais eficaz.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Das vacinas liberadas para uso no Brasil,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a menos eficaz, porquanto, deveria ser evitada em idosos, por ser esse o grupo mais vulnerável do ponto de vista fisiológico. A capital do Estado do Maranhão alcançou, com maior rapidez, a maior quantidade de faixas etárias. Esta semana foi liberado cadastro para pessoas com 35 anos. Por outro lado, a quantidade de idosos com mais de 70 anos que tomaram 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significativamente pequena:</w:t>
      </w:r>
    </w:p>
    <w:p w:rsidR="00B92F38" w:rsidRDefault="00B92F38"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r w:rsidRPr="009032D0">
        <w:rPr>
          <w:rFonts w:ascii="Times New Roman" w:hAnsi="Times New Roman" w:cs="Times New Roman"/>
          <w:noProof/>
          <w:sz w:val="24"/>
          <w:szCs w:val="24"/>
        </w:rPr>
        <w:drawing>
          <wp:inline distT="0" distB="0" distL="0" distR="0" wp14:anchorId="1DEFA589" wp14:editId="0DAE29A0">
            <wp:extent cx="5179334" cy="1600200"/>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577" cy="1618813"/>
                    </a:xfrm>
                    <a:prstGeom prst="rect">
                      <a:avLst/>
                    </a:prstGeom>
                    <a:noFill/>
                    <a:ln>
                      <a:noFill/>
                    </a:ln>
                  </pic:spPr>
                </pic:pic>
              </a:graphicData>
            </a:graphic>
          </wp:inline>
        </w:drawing>
      </w:r>
    </w:p>
    <w:p w:rsidR="00B92F38" w:rsidRDefault="00B92F38"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cenário instalado na capital maranhense é propício à revacinação de nossos idosos, portanto, representa uma garantia do direito à vida desses cidadãos extremamente vulneráveis a infecções pela COVID-19.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ensejo, o Ministério da Saúde vem diminuindo as aquisições de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ao mesmo tempo em que vem aumentando a compra de imunizantes mais eficazes. Há previsão de que ainda neste mês as vacinas da </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e Pfizer sejam os imunizantes predominantes no País</w:t>
      </w:r>
      <w:r>
        <w:rPr>
          <w:rStyle w:val="Refdenotaderodap"/>
          <w:rFonts w:ascii="Times New Roman" w:hAnsi="Times New Roman" w:cs="Times New Roman"/>
          <w:sz w:val="24"/>
          <w:szCs w:val="24"/>
        </w:rPr>
        <w:footnoteReference w:id="17"/>
      </w:r>
      <w:r>
        <w:rPr>
          <w:rFonts w:ascii="Times New Roman" w:hAnsi="Times New Roman" w:cs="Times New Roman"/>
          <w:sz w:val="24"/>
          <w:szCs w:val="24"/>
        </w:rPr>
        <w:t xml:space="preserve">. </w:t>
      </w:r>
    </w:p>
    <w:p w:rsidR="00D94A22" w:rsidRDefault="00D94A22" w:rsidP="00D94A22">
      <w:pPr>
        <w:tabs>
          <w:tab w:val="left" w:pos="851"/>
        </w:tabs>
        <w:spacing w:line="360" w:lineRule="auto"/>
        <w:jc w:val="center"/>
        <w:rPr>
          <w:rFonts w:ascii="Times New Roman" w:hAnsi="Times New Roman" w:cs="Times New Roman"/>
          <w:sz w:val="24"/>
          <w:szCs w:val="24"/>
        </w:rPr>
      </w:pPr>
      <w:r w:rsidRPr="00C2093D">
        <w:rPr>
          <w:rFonts w:ascii="Times New Roman" w:hAnsi="Times New Roman" w:cs="Times New Roman"/>
          <w:noProof/>
          <w:sz w:val="24"/>
          <w:szCs w:val="24"/>
        </w:rPr>
        <w:drawing>
          <wp:inline distT="0" distB="0" distL="0" distR="0" wp14:anchorId="6D7FA315" wp14:editId="54A0532A">
            <wp:extent cx="3600450" cy="27467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6170" cy="2766357"/>
                    </a:xfrm>
                    <a:prstGeom prst="rect">
                      <a:avLst/>
                    </a:prstGeom>
                    <a:noFill/>
                    <a:ln>
                      <a:noFill/>
                    </a:ln>
                  </pic:spPr>
                </pic:pic>
              </a:graphicData>
            </a:graphic>
          </wp:inline>
        </w:drawing>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CovonaVac</w:t>
      </w:r>
      <w:proofErr w:type="spellEnd"/>
      <w:r>
        <w:rPr>
          <w:rFonts w:ascii="Times New Roman" w:hAnsi="Times New Roman" w:cs="Times New Roman"/>
          <w:sz w:val="24"/>
          <w:szCs w:val="24"/>
        </w:rPr>
        <w:t xml:space="preserve"> já não pode ser considerada um segundo plano para o Brasil. Esse fato remonta o interesse dos órgãos oficiais em adquirir vacinas mais eficientes, processo lógico do desenvolvimento de novas tecnologias, reafirmando a obsolescência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w:t>
      </w:r>
    </w:p>
    <w:p w:rsidR="00130AD6" w:rsidRDefault="00130AD6" w:rsidP="00130AD6">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Coadunando com o exposto, o Ministro da Saúde, Queiroga, depôs na Comissão Parlamentar de Inquérito – CPI</w:t>
      </w:r>
      <w:r>
        <w:rPr>
          <w:rStyle w:val="Refdenotaderodap"/>
          <w:rFonts w:ascii="Times New Roman" w:hAnsi="Times New Roman" w:cs="Times New Roman"/>
          <w:sz w:val="24"/>
          <w:szCs w:val="24"/>
        </w:rPr>
        <w:footnoteReference w:id="18"/>
      </w:r>
      <w:r>
        <w:rPr>
          <w:rFonts w:ascii="Times New Roman" w:hAnsi="Times New Roman" w:cs="Times New Roman"/>
          <w:sz w:val="24"/>
          <w:szCs w:val="24"/>
        </w:rPr>
        <w:t xml:space="preserve"> da Covid-19 o que segue:</w:t>
      </w:r>
    </w:p>
    <w:p w:rsidR="00130AD6" w:rsidRPr="00093168" w:rsidRDefault="00130AD6" w:rsidP="00130AD6">
      <w:pPr>
        <w:tabs>
          <w:tab w:val="left" w:pos="851"/>
        </w:tabs>
        <w:spacing w:line="360" w:lineRule="auto"/>
        <w:ind w:left="2835"/>
        <w:jc w:val="both"/>
        <w:rPr>
          <w:rFonts w:ascii="Times New Roman" w:hAnsi="Times New Roman" w:cs="Times New Roman"/>
        </w:rPr>
      </w:pPr>
      <w:r w:rsidRPr="00093168">
        <w:rPr>
          <w:rFonts w:ascii="Times New Roman" w:hAnsi="Times New Roman" w:cs="Times New Roman"/>
        </w:rPr>
        <w:t xml:space="preserve">“Eu tratei com o doutor Dimas Covas [diretor do </w:t>
      </w:r>
      <w:proofErr w:type="spellStart"/>
      <w:r w:rsidRPr="00093168">
        <w:rPr>
          <w:rFonts w:ascii="Times New Roman" w:hAnsi="Times New Roman" w:cs="Times New Roman"/>
        </w:rPr>
        <w:t>Butantan</w:t>
      </w:r>
      <w:proofErr w:type="spellEnd"/>
      <w:r w:rsidRPr="00093168">
        <w:rPr>
          <w:rFonts w:ascii="Times New Roman" w:hAnsi="Times New Roman" w:cs="Times New Roman"/>
        </w:rPr>
        <w:t xml:space="preserve">] e, inclusive, coloquei essas duas opções para ele, e ele sinalizou com uma preferência para a [compra da] </w:t>
      </w:r>
      <w:proofErr w:type="spellStart"/>
      <w:r w:rsidRPr="00093168">
        <w:rPr>
          <w:rFonts w:ascii="Times New Roman" w:hAnsi="Times New Roman" w:cs="Times New Roman"/>
        </w:rPr>
        <w:t>ButanVac</w:t>
      </w:r>
      <w:proofErr w:type="spellEnd"/>
      <w:r w:rsidRPr="00093168">
        <w:rPr>
          <w:rFonts w:ascii="Times New Roman" w:hAnsi="Times New Roman" w:cs="Times New Roman"/>
        </w:rPr>
        <w:t xml:space="preserve">, até porque a </w:t>
      </w:r>
      <w:proofErr w:type="spellStart"/>
      <w:r w:rsidRPr="00093168">
        <w:rPr>
          <w:rFonts w:ascii="Times New Roman" w:hAnsi="Times New Roman" w:cs="Times New Roman"/>
        </w:rPr>
        <w:t>ButanVac</w:t>
      </w:r>
      <w:proofErr w:type="spellEnd"/>
      <w:r w:rsidRPr="00093168">
        <w:rPr>
          <w:rFonts w:ascii="Times New Roman" w:hAnsi="Times New Roman" w:cs="Times New Roman"/>
        </w:rPr>
        <w:t xml:space="preserve"> é uma vacina que não necessita nem do banco de células” [...] “</w:t>
      </w:r>
      <w:r w:rsidRPr="00093168">
        <w:rPr>
          <w:rFonts w:ascii="Times New Roman" w:hAnsi="Times New Roman" w:cs="Times New Roman"/>
          <w:b/>
          <w:bCs/>
        </w:rPr>
        <w:t xml:space="preserve">Sobre a vacina da </w:t>
      </w:r>
      <w:proofErr w:type="spellStart"/>
      <w:r w:rsidRPr="00093168">
        <w:rPr>
          <w:rFonts w:ascii="Times New Roman" w:hAnsi="Times New Roman" w:cs="Times New Roman"/>
          <w:b/>
          <w:bCs/>
        </w:rPr>
        <w:t>Coronavac</w:t>
      </w:r>
      <w:proofErr w:type="spellEnd"/>
      <w:r w:rsidRPr="00093168">
        <w:rPr>
          <w:rFonts w:ascii="Times New Roman" w:hAnsi="Times New Roman" w:cs="Times New Roman"/>
          <w:b/>
          <w:bCs/>
        </w:rPr>
        <w:t>, pairam ainda dúvidas</w:t>
      </w:r>
      <w:r w:rsidRPr="00093168">
        <w:rPr>
          <w:rFonts w:ascii="Times New Roman" w:hAnsi="Times New Roman" w:cs="Times New Roman"/>
        </w:rPr>
        <w:t xml:space="preserve">, </w:t>
      </w:r>
      <w:r>
        <w:rPr>
          <w:rFonts w:ascii="Times New Roman" w:hAnsi="Times New Roman" w:cs="Times New Roman"/>
        </w:rPr>
        <w:t>(...)</w:t>
      </w:r>
      <w:r w:rsidRPr="00093168">
        <w:rPr>
          <w:rFonts w:ascii="Times New Roman" w:hAnsi="Times New Roman" w:cs="Times New Roman"/>
        </w:rPr>
        <w:t xml:space="preserve">, </w:t>
      </w:r>
      <w:r w:rsidRPr="00093168">
        <w:rPr>
          <w:rFonts w:ascii="Times New Roman" w:hAnsi="Times New Roman" w:cs="Times New Roman"/>
          <w:b/>
          <w:bCs/>
        </w:rPr>
        <w:t>acerca da sua efetividade</w:t>
      </w:r>
      <w:r w:rsidRPr="00093168">
        <w:rPr>
          <w:rFonts w:ascii="Times New Roman" w:hAnsi="Times New Roman" w:cs="Times New Roman"/>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 fim, o Ministro da Saúde, Queiroga, divulgou recentemente que há negociações para aquisição de 100 milhões de doses da vacina Moderna, fabricada nos Estados Unidos com eficácia de 94%, reforçando a priorização de imunizantes fabricados a partir de tecnologias superiores àquelas utilizadas para confeccionar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w:t>
      </w:r>
      <w:r>
        <w:rPr>
          <w:rStyle w:val="Refdenotaderodap"/>
          <w:rFonts w:ascii="Times New Roman" w:hAnsi="Times New Roman" w:cs="Times New Roman"/>
          <w:sz w:val="24"/>
          <w:szCs w:val="24"/>
        </w:rPr>
        <w:footnoteReference w:id="19"/>
      </w:r>
    </w:p>
    <w:p w:rsidR="00D94A22" w:rsidRDefault="00D94A22" w:rsidP="00D94A22">
      <w:pPr>
        <w:tabs>
          <w:tab w:val="left" w:pos="851"/>
        </w:tabs>
        <w:spacing w:line="360" w:lineRule="auto"/>
        <w:jc w:val="both"/>
        <w:rPr>
          <w:rFonts w:ascii="Times New Roman" w:hAnsi="Times New Roman" w:cs="Times New Roman"/>
          <w:b/>
          <w:sz w:val="24"/>
          <w:szCs w:val="24"/>
        </w:rPr>
      </w:pPr>
    </w:p>
    <w:p w:rsidR="00D94A22" w:rsidRDefault="00D94A22" w:rsidP="00D94A22">
      <w:pPr>
        <w:tabs>
          <w:tab w:val="left" w:pos="851"/>
        </w:tabs>
        <w:spacing w:line="360" w:lineRule="auto"/>
        <w:jc w:val="both"/>
        <w:rPr>
          <w:rFonts w:ascii="Times New Roman" w:hAnsi="Times New Roman" w:cs="Times New Roman"/>
          <w:b/>
          <w:sz w:val="24"/>
          <w:szCs w:val="24"/>
        </w:rPr>
      </w:pPr>
      <w:r w:rsidRPr="00F9503D">
        <w:rPr>
          <w:rFonts w:ascii="Times New Roman" w:hAnsi="Times New Roman" w:cs="Times New Roman"/>
          <w:b/>
          <w:sz w:val="24"/>
          <w:szCs w:val="24"/>
        </w:rPr>
        <w:t>2 DO DIREITO</w:t>
      </w:r>
    </w:p>
    <w:p w:rsidR="00D94A22" w:rsidRDefault="00D94A22" w:rsidP="00D94A22">
      <w:pPr>
        <w:tabs>
          <w:tab w:val="left" w:pos="851"/>
        </w:tabs>
        <w:spacing w:line="360" w:lineRule="auto"/>
        <w:jc w:val="both"/>
        <w:rPr>
          <w:rFonts w:ascii="Times New Roman" w:hAnsi="Times New Roman" w:cs="Times New Roman"/>
          <w:sz w:val="24"/>
          <w:szCs w:val="24"/>
        </w:rPr>
      </w:pPr>
      <w:r w:rsidRPr="00934C73">
        <w:rPr>
          <w:rFonts w:ascii="Times New Roman" w:hAnsi="Times New Roman" w:cs="Times New Roman"/>
          <w:sz w:val="24"/>
          <w:szCs w:val="24"/>
        </w:rPr>
        <w:t>2.1 D</w:t>
      </w:r>
      <w:r>
        <w:rPr>
          <w:rFonts w:ascii="Times New Roman" w:hAnsi="Times New Roman" w:cs="Times New Roman"/>
          <w:sz w:val="24"/>
          <w:szCs w:val="24"/>
        </w:rPr>
        <w:t xml:space="preserve">o direito à vida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direito à vida é o mais antigo tutelado pelas sociedades. Na ordem constitucional vigente está previsto no artigo 5º caput: </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Art. 5º Todos são iguais perante a lei, sem distinção de qualquer natureza, </w:t>
      </w:r>
      <w:r w:rsidRPr="00D94A22">
        <w:rPr>
          <w:rFonts w:ascii="Times New Roman" w:hAnsi="Times New Roman" w:cs="Times New Roman"/>
          <w:b/>
          <w:bCs/>
        </w:rPr>
        <w:t>garantindo-se</w:t>
      </w:r>
      <w:r w:rsidRPr="00D94A22">
        <w:rPr>
          <w:rFonts w:ascii="Times New Roman" w:hAnsi="Times New Roman" w:cs="Times New Roman"/>
        </w:rPr>
        <w:t xml:space="preserve"> aos brasileiros e aos estrangeiros residentes no País </w:t>
      </w:r>
      <w:r w:rsidRPr="00D94A22">
        <w:rPr>
          <w:rFonts w:ascii="Times New Roman" w:hAnsi="Times New Roman" w:cs="Times New Roman"/>
          <w:b/>
          <w:bCs/>
        </w:rPr>
        <w:t>a inviolabilidade do direito à vida</w:t>
      </w:r>
      <w:r w:rsidRPr="00D94A22">
        <w:rPr>
          <w:rFonts w:ascii="Times New Roman" w:hAnsi="Times New Roman" w:cs="Times New Roman"/>
        </w:rPr>
        <w:t>, à liberdade, à igualdade, à segurança e à propriedade, nos termos seguintes: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No contexto mundial várias normas asseguram o direito à vida, a exemplo do Pacto de San José da Costa Rica, senão vejamos:</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“Artigo 4º - Direito à vida</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1. Toda pessoa tem o direito de que se respeite sua vida. Esse direito deve ser protegido pela lei e, em geral, desde o momento da concepção. Ninguém pode ser privado da vida arbitrariamente.</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2. Nos países que não houverem abolido a pena de morte, </w:t>
      </w:r>
      <w:proofErr w:type="spellStart"/>
      <w:r w:rsidRPr="00D94A22">
        <w:rPr>
          <w:rFonts w:ascii="Times New Roman" w:hAnsi="Times New Roman" w:cs="Times New Roman"/>
        </w:rPr>
        <w:t>esta</w:t>
      </w:r>
      <w:proofErr w:type="spellEnd"/>
      <w:r w:rsidRPr="00D94A22">
        <w:rPr>
          <w:rFonts w:ascii="Times New Roman" w:hAnsi="Times New Roman" w:cs="Times New Roman"/>
        </w:rPr>
        <w:t xml:space="preserve"> só poderá ser imposta pelos delitos mais graves, em cumprimento de sentença final de tribunal competente e em conformidade com a lei que estabeleça tal pena, promulgada antes de haver o delito sido cometido. Tampouco se estenderá sua aplicação a delitos aos quais não se aplique atualmente.</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3. Não se pode restabelecer a pena de morte nos Estados que a hajam abolido.</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4. Em nenhum caso pode a pena de morte ser aplicada a delitos políticos, nem a delitos comuns conexos com delitos políticos.</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5. Não se deve impor a pena de morte a pessoa que, no momento da perpetração do delito, for menor de dezoito anos, ou maior de setenta, nem </w:t>
      </w:r>
      <w:proofErr w:type="gramStart"/>
      <w:r w:rsidRPr="00D94A22">
        <w:rPr>
          <w:rFonts w:ascii="Times New Roman" w:hAnsi="Times New Roman" w:cs="Times New Roman"/>
        </w:rPr>
        <w:t>aplicá-la</w:t>
      </w:r>
      <w:proofErr w:type="gramEnd"/>
      <w:r w:rsidRPr="00D94A22">
        <w:rPr>
          <w:rFonts w:ascii="Times New Roman" w:hAnsi="Times New Roman" w:cs="Times New Roman"/>
        </w:rPr>
        <w:t xml:space="preserve"> a mulher em estado de gravidez.</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6. Toda pessoa condenada à morte tem direito a solicitar anistia, indulto ou comutação da pena, os quais podem ser concedidos em todos os casos. Não se pode executar a pena de morte enquanto o pedido estiver pendente de decisão ante a autoridade competente.”</w:t>
      </w:r>
    </w:p>
    <w:p w:rsidR="00D94A22" w:rsidRDefault="00D94A22" w:rsidP="00D94A22">
      <w:pPr>
        <w:tabs>
          <w:tab w:val="left" w:pos="851"/>
        </w:tabs>
        <w:spacing w:line="360" w:lineRule="auto"/>
        <w:jc w:val="both"/>
        <w:rPr>
          <w:rFonts w:ascii="Times New Roman" w:hAnsi="Times New Roman" w:cs="Times New Roman"/>
          <w:b/>
          <w:bCs/>
          <w:sz w:val="24"/>
          <w:szCs w:val="24"/>
        </w:rPr>
      </w:pPr>
    </w:p>
    <w:p w:rsidR="00D94A22" w:rsidRPr="00F67361" w:rsidRDefault="00D94A22" w:rsidP="00D94A22">
      <w:pPr>
        <w:tabs>
          <w:tab w:val="left" w:pos="851"/>
        </w:tabs>
        <w:spacing w:line="360" w:lineRule="auto"/>
        <w:jc w:val="both"/>
        <w:rPr>
          <w:rFonts w:ascii="Times New Roman" w:hAnsi="Times New Roman" w:cs="Times New Roman"/>
          <w:b/>
          <w:bCs/>
          <w:sz w:val="24"/>
          <w:szCs w:val="24"/>
        </w:rPr>
      </w:pPr>
      <w:r w:rsidRPr="00F67361">
        <w:rPr>
          <w:rFonts w:ascii="Times New Roman" w:hAnsi="Times New Roman" w:cs="Times New Roman"/>
          <w:b/>
          <w:bCs/>
          <w:sz w:val="24"/>
          <w:szCs w:val="24"/>
        </w:rPr>
        <w:t xml:space="preserve">2.2 </w:t>
      </w:r>
      <w:r w:rsidRPr="00F67361">
        <w:rPr>
          <w:rFonts w:ascii="Times New Roman" w:hAnsi="Times New Roman" w:cs="Times New Roman"/>
          <w:b/>
          <w:bCs/>
          <w:sz w:val="24"/>
          <w:szCs w:val="24"/>
        </w:rPr>
        <w:tab/>
        <w:t xml:space="preserve">Do Direito à vida com dignidade.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direito à vida deve ser analisado sob a perspectiva da dignidade da pessoa humana. Não é possível, atualmente, compreender vida sem dignidade, sobretudo no contexto de pandemia em que vivemos. A Covid-19 deu destaque para questões antes irrelevantes como a necessidade de priorizar idosos na imunização contra o contágio pelo vírus </w:t>
      </w:r>
      <w:proofErr w:type="spellStart"/>
      <w:r>
        <w:rPr>
          <w:rFonts w:ascii="Times New Roman" w:hAnsi="Times New Roman" w:cs="Times New Roman"/>
          <w:sz w:val="24"/>
          <w:szCs w:val="24"/>
        </w:rPr>
        <w:t>sars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cov</w:t>
      </w:r>
      <w:proofErr w:type="spellEnd"/>
      <w:r>
        <w:rPr>
          <w:rFonts w:ascii="Times New Roman" w:hAnsi="Times New Roman" w:cs="Times New Roman"/>
          <w:sz w:val="24"/>
          <w:szCs w:val="24"/>
        </w:rPr>
        <w:t xml:space="preserve"> 2.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A discriminação necessária para o caso concreto ensejou prioridade por critério etário na vacinação de forma que pessoas mais idosas foram logo imunizadas. Ocorre que, embora a vacinação tenha ocorrido em velocidade recorde na capital maranhense, não houve critério de escolha da vacina. Deixou-se de aplicar imunizantes tecnologicamente mais eficientes em pessoas mais vulneráveis.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fato de idosos com mais de 70 anos de idade terem sido vacinados com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imunizante que não apresenta grau de eficiência satisfatório para pessoas mais velhas, não é objeto de questionamento neste momento, mas justifica a necessidade de garantia de vida por meio da revacinação desses idosos com imunizante tecnologicamente mais eficaz.</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De fato, essa é a medida menos custosa para a sociedade, uma vez que evitará aplicar testes para identificar a imunidade, ao tempo em que irá garantir por imunização cruzada a saúde dos idosos.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Dessa forma, e por todo o exposto, solicita-se que sejam tomadas todas as medidas que entender necessárias para garantir a revacinação dos idosos com mais de 70 anos de idade. No mesmo ensejo, solicitamos providências para revacinar profissionais da saúde com mais de 60 anos de idade, bem como pessoas com comorbidades que tenham sido vacinas até o momento com 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No ensejo, solicita-se que sejam adotadas todas as medidas, inclusive com articulações nacionais, para evitar o uso do imunizante nos casos aqui apontados. </w:t>
      </w:r>
    </w:p>
    <w:p w:rsidR="00D94A22" w:rsidRDefault="00D94A22" w:rsidP="00D94A22">
      <w:pPr>
        <w:tabs>
          <w:tab w:val="left" w:pos="851"/>
        </w:tabs>
        <w:spacing w:after="0" w:line="240" w:lineRule="auto"/>
        <w:jc w:val="center"/>
        <w:rPr>
          <w:rFonts w:ascii="Times New Roman" w:hAnsi="Times New Roman" w:cs="Times New Roman"/>
          <w:b/>
          <w:bCs/>
          <w:sz w:val="24"/>
          <w:szCs w:val="24"/>
        </w:rPr>
      </w:pPr>
    </w:p>
    <w:p w:rsidR="00D94A22" w:rsidRPr="00020021" w:rsidRDefault="00D94A22" w:rsidP="00D94A22">
      <w:pPr>
        <w:tabs>
          <w:tab w:val="left" w:pos="851"/>
        </w:tabs>
        <w:spacing w:after="0" w:line="240" w:lineRule="auto"/>
        <w:jc w:val="right"/>
        <w:rPr>
          <w:rFonts w:ascii="Times New Roman" w:hAnsi="Times New Roman" w:cs="Times New Roman"/>
          <w:sz w:val="24"/>
          <w:szCs w:val="24"/>
        </w:rPr>
      </w:pPr>
      <w:r w:rsidRPr="00020021">
        <w:rPr>
          <w:rFonts w:ascii="Times New Roman" w:hAnsi="Times New Roman" w:cs="Times New Roman"/>
          <w:sz w:val="24"/>
          <w:szCs w:val="24"/>
        </w:rPr>
        <w:t xml:space="preserve">São Luís, </w:t>
      </w:r>
      <w:r>
        <w:rPr>
          <w:rFonts w:ascii="Times New Roman" w:hAnsi="Times New Roman" w:cs="Times New Roman"/>
          <w:sz w:val="24"/>
          <w:szCs w:val="24"/>
        </w:rPr>
        <w:t>9</w:t>
      </w:r>
      <w:r w:rsidRPr="00020021">
        <w:rPr>
          <w:rFonts w:ascii="Times New Roman" w:hAnsi="Times New Roman" w:cs="Times New Roman"/>
          <w:sz w:val="24"/>
          <w:szCs w:val="24"/>
        </w:rPr>
        <w:t xml:space="preserve"> de junho de 2021.</w:t>
      </w:r>
    </w:p>
    <w:p w:rsidR="00D94A22" w:rsidRPr="00020021" w:rsidRDefault="00D94A22" w:rsidP="00D94A22">
      <w:pPr>
        <w:tabs>
          <w:tab w:val="left" w:pos="851"/>
        </w:tabs>
        <w:spacing w:after="0" w:line="240" w:lineRule="auto"/>
        <w:jc w:val="center"/>
        <w:rPr>
          <w:rFonts w:ascii="Times New Roman" w:hAnsi="Times New Roman" w:cs="Times New Roman"/>
          <w:b/>
          <w:bCs/>
          <w:sz w:val="24"/>
          <w:szCs w:val="24"/>
        </w:rPr>
      </w:pPr>
    </w:p>
    <w:p w:rsidR="00D94A22" w:rsidRPr="00020021" w:rsidRDefault="00D94A22" w:rsidP="00D94A22">
      <w:pPr>
        <w:tabs>
          <w:tab w:val="left" w:pos="851"/>
        </w:tabs>
        <w:spacing w:after="0" w:line="240" w:lineRule="auto"/>
        <w:jc w:val="center"/>
        <w:rPr>
          <w:rFonts w:ascii="Times New Roman" w:hAnsi="Times New Roman" w:cs="Times New Roman"/>
          <w:b/>
          <w:bCs/>
          <w:sz w:val="24"/>
          <w:szCs w:val="24"/>
        </w:rPr>
      </w:pPr>
      <w:r w:rsidRPr="00020021">
        <w:rPr>
          <w:rFonts w:ascii="Times New Roman" w:hAnsi="Times New Roman" w:cs="Times New Roman"/>
          <w:b/>
          <w:bCs/>
          <w:sz w:val="24"/>
          <w:szCs w:val="24"/>
        </w:rPr>
        <w:t>DR. YGLÉSIO</w:t>
      </w:r>
      <w:r>
        <w:rPr>
          <w:rFonts w:ascii="Times New Roman" w:hAnsi="Times New Roman" w:cs="Times New Roman"/>
          <w:b/>
          <w:bCs/>
          <w:sz w:val="24"/>
          <w:szCs w:val="24"/>
        </w:rPr>
        <w:t xml:space="preserve"> MOYSÉS</w:t>
      </w:r>
    </w:p>
    <w:p w:rsidR="00E32AA0" w:rsidRPr="004C6098" w:rsidRDefault="00D94A22" w:rsidP="00130AD6">
      <w:pPr>
        <w:tabs>
          <w:tab w:val="left" w:pos="851"/>
        </w:tabs>
        <w:spacing w:after="0" w:line="240" w:lineRule="auto"/>
        <w:jc w:val="center"/>
        <w:rPr>
          <w:rFonts w:ascii="Times New Roman" w:eastAsia="Times New Roman" w:hAnsi="Times New Roman" w:cs="Times New Roman"/>
          <w:b/>
          <w:bCs/>
          <w:caps/>
          <w:sz w:val="24"/>
          <w:szCs w:val="24"/>
        </w:rPr>
      </w:pPr>
      <w:r w:rsidRPr="00020021">
        <w:rPr>
          <w:rFonts w:ascii="Times New Roman" w:hAnsi="Times New Roman" w:cs="Times New Roman"/>
          <w:b/>
          <w:bCs/>
          <w:sz w:val="24"/>
          <w:szCs w:val="24"/>
        </w:rPr>
        <w:t>Dep. Estadual</w:t>
      </w:r>
      <w:bookmarkStart w:id="0" w:name="_GoBack"/>
      <w:bookmarkEnd w:id="0"/>
    </w:p>
    <w:sectPr w:rsidR="00E32AA0" w:rsidRPr="004C6098" w:rsidSect="00130AD6">
      <w:headerReference w:type="default" r:id="rId14"/>
      <w:type w:val="continuous"/>
      <w:pgSz w:w="11906" w:h="16838"/>
      <w:pgMar w:top="1417" w:right="849"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FFE" w:rsidRDefault="009C7FFE" w:rsidP="00E660E2">
      <w:pPr>
        <w:spacing w:after="0" w:line="240" w:lineRule="auto"/>
      </w:pPr>
      <w:r>
        <w:separator/>
      </w:r>
    </w:p>
  </w:endnote>
  <w:endnote w:type="continuationSeparator" w:id="0">
    <w:p w:rsidR="009C7FFE" w:rsidRDefault="009C7FFE" w:rsidP="00E66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FFE" w:rsidRDefault="009C7FFE" w:rsidP="00E660E2">
      <w:pPr>
        <w:spacing w:after="0" w:line="240" w:lineRule="auto"/>
      </w:pPr>
      <w:r>
        <w:separator/>
      </w:r>
    </w:p>
  </w:footnote>
  <w:footnote w:type="continuationSeparator" w:id="0">
    <w:p w:rsidR="009C7FFE" w:rsidRDefault="009C7FFE" w:rsidP="00E660E2">
      <w:pPr>
        <w:spacing w:after="0" w:line="240" w:lineRule="auto"/>
      </w:pPr>
      <w:r>
        <w:continuationSeparator/>
      </w:r>
    </w:p>
  </w:footnote>
  <w:footnote w:id="1">
    <w:p w:rsidR="00D94A22" w:rsidRDefault="00D94A22" w:rsidP="00D94A22">
      <w:pPr>
        <w:pStyle w:val="Textodenotaderodap"/>
      </w:pPr>
      <w:r>
        <w:rPr>
          <w:rStyle w:val="Refdenotaderodap"/>
        </w:rPr>
        <w:footnoteRef/>
      </w:r>
      <w:r>
        <w:t xml:space="preserve"> </w:t>
      </w:r>
      <w:r w:rsidRPr="00AE0669">
        <w:t>https://www.unasus.gov.br/noticia/coronavirus-brasil-confirma-primeiro-caso-da-doenca</w:t>
      </w:r>
    </w:p>
  </w:footnote>
  <w:footnote w:id="2">
    <w:p w:rsidR="00D94A22" w:rsidRDefault="00D94A22" w:rsidP="00D94A22">
      <w:pPr>
        <w:pStyle w:val="Textodenotaderodap"/>
      </w:pPr>
      <w:r>
        <w:rPr>
          <w:rStyle w:val="Refdenotaderodap"/>
        </w:rPr>
        <w:footnoteRef/>
      </w:r>
      <w:r>
        <w:t xml:space="preserve"> </w:t>
      </w:r>
      <w:r w:rsidRPr="008E4919">
        <w:t>http://www.saude.am.gov.br/visualizar-noticia.php?id=5730</w:t>
      </w:r>
    </w:p>
  </w:footnote>
  <w:footnote w:id="3">
    <w:p w:rsidR="00D94A22" w:rsidRDefault="00D94A22" w:rsidP="00D94A22">
      <w:pPr>
        <w:pStyle w:val="Textodenotaderodap"/>
      </w:pPr>
      <w:r>
        <w:rPr>
          <w:rStyle w:val="Refdenotaderodap"/>
        </w:rPr>
        <w:footnoteRef/>
      </w:r>
      <w:r>
        <w:t xml:space="preserve"> </w:t>
      </w:r>
      <w:r w:rsidRPr="00AE0669">
        <w:t>https://www.conjur.com.br/dl/justica-ordena-lockdown-maranhao-sao.pdf</w:t>
      </w:r>
    </w:p>
  </w:footnote>
  <w:footnote w:id="4">
    <w:p w:rsidR="00D94A22" w:rsidRDefault="00D94A22" w:rsidP="00D94A22">
      <w:pPr>
        <w:pStyle w:val="Textodenotaderodap"/>
      </w:pPr>
      <w:r>
        <w:rPr>
          <w:rStyle w:val="Refdenotaderodap"/>
        </w:rPr>
        <w:footnoteRef/>
      </w:r>
      <w:r>
        <w:t xml:space="preserve"> </w:t>
      </w:r>
      <w:r w:rsidRPr="00721092">
        <w:t>https://saude.abril.com.br/medicina/as-diferencas-entre-registro-e-liberacao-para-uso-emergencial-de-vacinas/</w:t>
      </w:r>
    </w:p>
  </w:footnote>
  <w:footnote w:id="5">
    <w:p w:rsidR="00D94A22" w:rsidRDefault="00D94A22" w:rsidP="00D94A22">
      <w:pPr>
        <w:pStyle w:val="Textodenotaderodap"/>
      </w:pPr>
      <w:r>
        <w:rPr>
          <w:rStyle w:val="Refdenotaderodap"/>
        </w:rPr>
        <w:footnoteRef/>
      </w:r>
      <w:r>
        <w:t xml:space="preserve"> </w:t>
      </w:r>
      <w:r w:rsidRPr="00574FB6">
        <w:t>https://g1.globo.com/sp/sao-paulo/noticia/2021/01/07/butantan-envia-a-anvisa-pedido-de-uso-emergencial-da-coronavac-diz-governo-de-sp.ghtml</w:t>
      </w:r>
    </w:p>
  </w:footnote>
  <w:footnote w:id="6">
    <w:p w:rsidR="00D94A22" w:rsidRDefault="00D94A22" w:rsidP="00D94A22">
      <w:pPr>
        <w:pStyle w:val="Textodenotaderodap"/>
      </w:pPr>
      <w:r>
        <w:rPr>
          <w:rStyle w:val="Refdenotaderodap"/>
        </w:rPr>
        <w:footnoteRef/>
      </w:r>
      <w:r>
        <w:t xml:space="preserve"> </w:t>
      </w:r>
      <w:r w:rsidRPr="00574FB6">
        <w:t>https://www.gov.br/anvisa/pt-br/assuntos/noticias-anvisa/2021/dados-de-imunogenicidade-anvisa-faz-reuniao-com-butantan</w:t>
      </w:r>
    </w:p>
  </w:footnote>
  <w:footnote w:id="7">
    <w:p w:rsidR="00D94A22" w:rsidRDefault="00D94A22" w:rsidP="00D94A22">
      <w:pPr>
        <w:pStyle w:val="Textodenotaderodap"/>
      </w:pPr>
      <w:r>
        <w:rPr>
          <w:rStyle w:val="Refdenotaderodap"/>
        </w:rPr>
        <w:footnoteRef/>
      </w:r>
      <w:r>
        <w:t xml:space="preserve"> </w:t>
      </w:r>
      <w:r w:rsidRPr="00EC45AF">
        <w:t>https://www.gov.br/anvisa/pt-br/assuntos/noticias-anvisa/2021/uso-emergencial-confira-material-da-reuniao-que-aprovou-segundo-pedido-da-coronavac/parecer-tecnico-gfarm-ggmon.pdf</w:t>
      </w:r>
    </w:p>
  </w:footnote>
  <w:footnote w:id="8">
    <w:p w:rsidR="00D94A22" w:rsidRDefault="00D94A22" w:rsidP="00D94A22">
      <w:pPr>
        <w:pStyle w:val="Textodenotaderodap"/>
      </w:pPr>
      <w:r>
        <w:rPr>
          <w:rStyle w:val="Refdenotaderodap"/>
        </w:rPr>
        <w:footnoteRef/>
      </w:r>
      <w:r>
        <w:t xml:space="preserve"> </w:t>
      </w:r>
      <w:r w:rsidRPr="00325C95">
        <w:t>https://www.gov.br/anvisa/pt-br/assuntos/noticias-anvisa/2021/uso-emergencial-confira-material-da-reuniao-que-aprovou-segundo-pedido-da-coronavac/voto-10-2021-autorizacao-de-uso-e-mergencial-2-coronavac.pdf</w:t>
      </w:r>
    </w:p>
  </w:footnote>
  <w:footnote w:id="9">
    <w:p w:rsidR="00D94A22" w:rsidRDefault="00D94A22" w:rsidP="00D94A22">
      <w:pPr>
        <w:pStyle w:val="Textodenotaderodap"/>
      </w:pPr>
      <w:r>
        <w:rPr>
          <w:rStyle w:val="Refdenotaderodap"/>
        </w:rPr>
        <w:footnoteRef/>
      </w:r>
      <w:r>
        <w:t xml:space="preserve"> </w:t>
      </w:r>
      <w:r w:rsidRPr="007B6459">
        <w:t>https://g1.globo.com/rj/rio-de-janeiro/noticia/2021/04/03/agnaldo-timoteo-morre-no-rio.ghtml</w:t>
      </w:r>
    </w:p>
  </w:footnote>
  <w:footnote w:id="10">
    <w:p w:rsidR="00D94A22" w:rsidRDefault="00D94A22" w:rsidP="00D94A22">
      <w:pPr>
        <w:pStyle w:val="Textodenotaderodap"/>
      </w:pPr>
      <w:r>
        <w:rPr>
          <w:rStyle w:val="Refdenotaderodap"/>
        </w:rPr>
        <w:footnoteRef/>
      </w:r>
      <w:r>
        <w:t xml:space="preserve"> </w:t>
      </w:r>
      <w:r w:rsidRPr="005A65B4">
        <w:t>https://blog.inlab.com.br/2021/03/23/exames-para-deteccao-da-covid-19-disponiveis-no-inlab/?gclid=EAIaIQobChMI44nJipKI8QIViIaRCh1WxgPeEAAYASAAEgIxYfD_BwE</w:t>
      </w:r>
    </w:p>
  </w:footnote>
  <w:footnote w:id="11">
    <w:p w:rsidR="00D94A22" w:rsidRDefault="00D94A22" w:rsidP="00D94A22">
      <w:pPr>
        <w:pStyle w:val="Textodenotaderodap"/>
      </w:pPr>
      <w:r>
        <w:rPr>
          <w:rStyle w:val="Refdenotaderodap"/>
        </w:rPr>
        <w:footnoteRef/>
      </w:r>
      <w:r>
        <w:t xml:space="preserve"> </w:t>
      </w:r>
      <w:r w:rsidRPr="00AE743A">
        <w:t>https://www.istoedinheiro.com.br/chile-celebra-eficacia-de/</w:t>
      </w:r>
    </w:p>
  </w:footnote>
  <w:footnote w:id="12">
    <w:p w:rsidR="00D94A22" w:rsidRDefault="00D94A22" w:rsidP="00D94A22">
      <w:pPr>
        <w:pStyle w:val="Textodenotaderodap"/>
      </w:pPr>
      <w:r>
        <w:rPr>
          <w:rStyle w:val="Refdenotaderodap"/>
        </w:rPr>
        <w:footnoteRef/>
      </w:r>
      <w:r>
        <w:t xml:space="preserve"> </w:t>
      </w:r>
      <w:r w:rsidRPr="00165486">
        <w:t>https://www.gazetadopovo.com.br/mundo/chile-atualiza-dados-sobre-eficacia-da-coronavac-no-pais/</w:t>
      </w:r>
    </w:p>
  </w:footnote>
  <w:footnote w:id="13">
    <w:p w:rsidR="00D94A22" w:rsidRDefault="00D94A22" w:rsidP="00D94A22">
      <w:pPr>
        <w:pStyle w:val="Textodenotaderodap"/>
      </w:pPr>
      <w:r>
        <w:rPr>
          <w:rStyle w:val="Refdenotaderodap"/>
        </w:rPr>
        <w:footnoteRef/>
      </w:r>
      <w:r>
        <w:t xml:space="preserve"> </w:t>
      </w:r>
      <w:r w:rsidRPr="00C95FFF">
        <w:t>https://jovempan.com.br/noticias/brasil/eficiencia-da-coronavac-para-idosos.html</w:t>
      </w:r>
    </w:p>
  </w:footnote>
  <w:footnote w:id="14">
    <w:p w:rsidR="00D94A22" w:rsidRDefault="00D94A22" w:rsidP="00D94A22">
      <w:pPr>
        <w:pStyle w:val="Textodenotaderodap"/>
      </w:pPr>
      <w:r>
        <w:rPr>
          <w:rStyle w:val="Refdenotaderodap"/>
        </w:rPr>
        <w:footnoteRef/>
      </w:r>
      <w:r>
        <w:t xml:space="preserve"> </w:t>
      </w:r>
      <w:r w:rsidRPr="009628BC">
        <w:t>https://g1.globo.com/politica/noticia/2021/05/27/diretor-do-butantan-diz-que-ve-necessida-de-dose-de-reforco-para-vacinas-contra-a-covid.ghtml</w:t>
      </w:r>
    </w:p>
  </w:footnote>
  <w:footnote w:id="15">
    <w:p w:rsidR="00D94A22" w:rsidRDefault="00D94A22" w:rsidP="00D94A22">
      <w:pPr>
        <w:pStyle w:val="Textodenotaderodap"/>
      </w:pPr>
      <w:r>
        <w:rPr>
          <w:rStyle w:val="Refdenotaderodap"/>
        </w:rPr>
        <w:footnoteRef/>
      </w:r>
      <w:r>
        <w:t xml:space="preserve"> </w:t>
      </w:r>
      <w:r w:rsidRPr="00AF291C">
        <w:t>https://www.pfizer.com.br/sua-saude/covid-19-coronavirus/covid-19-principais-perguntas-respostas-sobre-vacina-pfizer-e-biontech</w:t>
      </w:r>
    </w:p>
  </w:footnote>
  <w:footnote w:id="16">
    <w:p w:rsidR="00D94A22" w:rsidRDefault="00D94A22" w:rsidP="00D94A22">
      <w:pPr>
        <w:pStyle w:val="Textodenotaderodap"/>
      </w:pPr>
      <w:r>
        <w:rPr>
          <w:rStyle w:val="Refdenotaderodap"/>
        </w:rPr>
        <w:footnoteRef/>
      </w:r>
      <w:r>
        <w:t xml:space="preserve"> </w:t>
      </w:r>
      <w:r w:rsidRPr="009B727B">
        <w:t>https://www.richet.com.br/medicos/blog/testes-para-a-deteccao-de-anticorpos-antisars-cov-2-pos-vacinacao/</w:t>
      </w:r>
    </w:p>
  </w:footnote>
  <w:footnote w:id="17">
    <w:p w:rsidR="00D94A22" w:rsidRDefault="00D94A22" w:rsidP="00D94A22">
      <w:pPr>
        <w:pStyle w:val="Textodenotaderodap"/>
      </w:pPr>
      <w:r>
        <w:rPr>
          <w:rStyle w:val="Refdenotaderodap"/>
        </w:rPr>
        <w:footnoteRef/>
      </w:r>
      <w:r>
        <w:t xml:space="preserve"> </w:t>
      </w:r>
      <w:r w:rsidRPr="00F67361">
        <w:t>https://gauchazh.clicrbs.com.br/saude/noticia/2021/06/vacina-da-pfizer-ganha-protagonismo-e-promete-ser-a-segunda-mais-aplicada-no-brasil-ckphhhfyn009f0180jgq4vwnl.html</w:t>
      </w:r>
    </w:p>
  </w:footnote>
  <w:footnote w:id="18">
    <w:p w:rsidR="00130AD6" w:rsidRDefault="00130AD6" w:rsidP="00130AD6">
      <w:pPr>
        <w:pStyle w:val="Textodenotaderodap"/>
      </w:pPr>
      <w:r>
        <w:rPr>
          <w:rStyle w:val="Refdenotaderodap"/>
        </w:rPr>
        <w:footnoteRef/>
      </w:r>
      <w:r>
        <w:t xml:space="preserve"> </w:t>
      </w:r>
      <w:r w:rsidRPr="002E20C5">
        <w:t>https://www.oantagonista.com/brasil/sobre-a-vacina-da-coronavac-pairam-ainda-duvidas-diz-queiroga/</w:t>
      </w:r>
    </w:p>
  </w:footnote>
  <w:footnote w:id="19">
    <w:p w:rsidR="00D94A22" w:rsidRDefault="00D94A22" w:rsidP="00D94A22">
      <w:pPr>
        <w:pStyle w:val="Textodenotaderodap"/>
      </w:pPr>
      <w:r>
        <w:rPr>
          <w:rStyle w:val="Refdenotaderodap"/>
        </w:rPr>
        <w:footnoteRef/>
      </w:r>
      <w:r>
        <w:t xml:space="preserve"> </w:t>
      </w:r>
      <w:r w:rsidRPr="00BD6750">
        <w:t>https://www1.folha.uol.com.br/equilibrioesaude/2021/06/queiroga-diz-que-negocia-100-milhoes-de-doses-de-vacinas-da-moderna.shtml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415" w:rsidRDefault="00542415" w:rsidP="00542415">
    <w:pPr>
      <w:pStyle w:val="Normal1"/>
      <w:jc w:val="center"/>
    </w:pPr>
    <w:r>
      <w:rPr>
        <w:noProof/>
        <w:lang w:eastAsia="pt-BR"/>
      </w:rPr>
      <w:drawing>
        <wp:inline distT="114300" distB="114300" distL="114300" distR="114300" wp14:anchorId="6420C0F2" wp14:editId="5796F31B">
          <wp:extent cx="709613" cy="70961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9613" cy="709613"/>
                  </a:xfrm>
                  <a:prstGeom prst="rect">
                    <a:avLst/>
                  </a:prstGeom>
                  <a:ln/>
                </pic:spPr>
              </pic:pic>
            </a:graphicData>
          </a:graphic>
        </wp:inline>
      </w:drawing>
    </w:r>
  </w:p>
  <w:p w:rsidR="00EA4097" w:rsidRPr="00EA4097" w:rsidRDefault="00EA4097" w:rsidP="00542415">
    <w:pPr>
      <w:pStyle w:val="Normal1"/>
      <w:jc w:val="center"/>
      <w:rPr>
        <w:sz w:val="10"/>
        <w:szCs w:val="10"/>
      </w:rPr>
    </w:pPr>
  </w:p>
  <w:p w:rsidR="00542415" w:rsidRPr="00A20743" w:rsidRDefault="00EA4097" w:rsidP="00542415">
    <w:pPr>
      <w:pStyle w:val="Normal1"/>
      <w:spacing w:line="240" w:lineRule="auto"/>
      <w:jc w:val="center"/>
      <w:rPr>
        <w:rFonts w:ascii="Times New Roman" w:hAnsi="Times New Roman" w:cs="Times New Roman"/>
        <w:b/>
        <w:sz w:val="24"/>
        <w:szCs w:val="24"/>
      </w:rPr>
    </w:pPr>
    <w:r w:rsidRPr="00A20743">
      <w:rPr>
        <w:rFonts w:ascii="Times New Roman" w:hAnsi="Times New Roman" w:cs="Times New Roman"/>
        <w:b/>
        <w:sz w:val="24"/>
        <w:szCs w:val="24"/>
      </w:rPr>
      <w:t xml:space="preserve">ASSEMBLEIA LEGISLATIVA </w:t>
    </w:r>
    <w:r>
      <w:rPr>
        <w:rFonts w:ascii="Times New Roman" w:hAnsi="Times New Roman" w:cs="Times New Roman"/>
        <w:b/>
        <w:sz w:val="24"/>
        <w:szCs w:val="24"/>
      </w:rPr>
      <w:t xml:space="preserve">DO </w:t>
    </w:r>
    <w:r w:rsidR="00542415" w:rsidRPr="00A20743">
      <w:rPr>
        <w:rFonts w:ascii="Times New Roman" w:hAnsi="Times New Roman" w:cs="Times New Roman"/>
        <w:b/>
        <w:sz w:val="24"/>
        <w:szCs w:val="24"/>
      </w:rPr>
      <w:t>ESTADO DO MARANHÃO</w:t>
    </w:r>
    <w:r w:rsidR="00542415" w:rsidRPr="00A20743">
      <w:rPr>
        <w:rFonts w:ascii="Times New Roman" w:hAnsi="Times New Roman" w:cs="Times New Roman"/>
        <w:b/>
        <w:sz w:val="24"/>
        <w:szCs w:val="24"/>
      </w:rPr>
      <w:br/>
      <w:t>GABINETE DO DEP</w:t>
    </w:r>
    <w:r w:rsidR="00542415">
      <w:rPr>
        <w:rFonts w:ascii="Times New Roman" w:hAnsi="Times New Roman" w:cs="Times New Roman"/>
        <w:b/>
        <w:sz w:val="24"/>
        <w:szCs w:val="24"/>
      </w:rPr>
      <w:t>UTADO</w:t>
    </w:r>
    <w:r w:rsidR="00542415" w:rsidRPr="00A20743">
      <w:rPr>
        <w:rFonts w:ascii="Times New Roman" w:hAnsi="Times New Roman" w:cs="Times New Roman"/>
        <w:b/>
        <w:sz w:val="24"/>
        <w:szCs w:val="24"/>
      </w:rPr>
      <w:t xml:space="preserve"> DR. YGLÉSIO</w:t>
    </w:r>
  </w:p>
  <w:p w:rsidR="00542415" w:rsidRDefault="0054241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22168"/>
    <w:multiLevelType w:val="hybridMultilevel"/>
    <w:tmpl w:val="B5424872"/>
    <w:lvl w:ilvl="0" w:tplc="51FEFE92">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D7D741C"/>
    <w:multiLevelType w:val="hybridMultilevel"/>
    <w:tmpl w:val="B76C4884"/>
    <w:lvl w:ilvl="0" w:tplc="B11E638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384"/>
    <w:rsid w:val="000013D2"/>
    <w:rsid w:val="000057BA"/>
    <w:rsid w:val="00007945"/>
    <w:rsid w:val="00007D55"/>
    <w:rsid w:val="0003404B"/>
    <w:rsid w:val="000344A8"/>
    <w:rsid w:val="00052FBE"/>
    <w:rsid w:val="000741E7"/>
    <w:rsid w:val="000943E3"/>
    <w:rsid w:val="000C7554"/>
    <w:rsid w:val="000D01BD"/>
    <w:rsid w:val="000E0BD4"/>
    <w:rsid w:val="000E65EB"/>
    <w:rsid w:val="00130AD6"/>
    <w:rsid w:val="00183E1D"/>
    <w:rsid w:val="00184FAE"/>
    <w:rsid w:val="001B33EA"/>
    <w:rsid w:val="001C1C6C"/>
    <w:rsid w:val="00200CC3"/>
    <w:rsid w:val="00204D9F"/>
    <w:rsid w:val="00275C3F"/>
    <w:rsid w:val="00292FA3"/>
    <w:rsid w:val="00294384"/>
    <w:rsid w:val="002A60FD"/>
    <w:rsid w:val="002D6C2A"/>
    <w:rsid w:val="00304759"/>
    <w:rsid w:val="00312DC8"/>
    <w:rsid w:val="00326BC8"/>
    <w:rsid w:val="0033198F"/>
    <w:rsid w:val="00345105"/>
    <w:rsid w:val="00351AB8"/>
    <w:rsid w:val="003A2D8A"/>
    <w:rsid w:val="003E71A2"/>
    <w:rsid w:val="004263B0"/>
    <w:rsid w:val="00433762"/>
    <w:rsid w:val="00437BEE"/>
    <w:rsid w:val="0045486C"/>
    <w:rsid w:val="0046545C"/>
    <w:rsid w:val="00497E00"/>
    <w:rsid w:val="004C6098"/>
    <w:rsid w:val="00542415"/>
    <w:rsid w:val="005446EB"/>
    <w:rsid w:val="00547E26"/>
    <w:rsid w:val="0055470D"/>
    <w:rsid w:val="00591214"/>
    <w:rsid w:val="005B148B"/>
    <w:rsid w:val="005C43E3"/>
    <w:rsid w:val="005D0515"/>
    <w:rsid w:val="005F14DF"/>
    <w:rsid w:val="006314B9"/>
    <w:rsid w:val="006A1CDE"/>
    <w:rsid w:val="006C2820"/>
    <w:rsid w:val="0073482B"/>
    <w:rsid w:val="00754ABD"/>
    <w:rsid w:val="00772D82"/>
    <w:rsid w:val="00791DE6"/>
    <w:rsid w:val="007A44F6"/>
    <w:rsid w:val="007D201D"/>
    <w:rsid w:val="007D5954"/>
    <w:rsid w:val="00811047"/>
    <w:rsid w:val="0081388B"/>
    <w:rsid w:val="00830FCD"/>
    <w:rsid w:val="008838E2"/>
    <w:rsid w:val="00885864"/>
    <w:rsid w:val="00885EE7"/>
    <w:rsid w:val="008A0FB5"/>
    <w:rsid w:val="00905193"/>
    <w:rsid w:val="00963EC0"/>
    <w:rsid w:val="00965FA0"/>
    <w:rsid w:val="009C7FFE"/>
    <w:rsid w:val="00A37F30"/>
    <w:rsid w:val="00A5427F"/>
    <w:rsid w:val="00A66ADC"/>
    <w:rsid w:val="00A715BA"/>
    <w:rsid w:val="00A765DF"/>
    <w:rsid w:val="00AB6615"/>
    <w:rsid w:val="00AD31C9"/>
    <w:rsid w:val="00AD4A99"/>
    <w:rsid w:val="00B92F38"/>
    <w:rsid w:val="00B9323F"/>
    <w:rsid w:val="00BA01A0"/>
    <w:rsid w:val="00BB555C"/>
    <w:rsid w:val="00BC4B5E"/>
    <w:rsid w:val="00BE705A"/>
    <w:rsid w:val="00C007E8"/>
    <w:rsid w:val="00C73D5A"/>
    <w:rsid w:val="00C767D6"/>
    <w:rsid w:val="00CF2066"/>
    <w:rsid w:val="00D00256"/>
    <w:rsid w:val="00D341F7"/>
    <w:rsid w:val="00D378B7"/>
    <w:rsid w:val="00D5142A"/>
    <w:rsid w:val="00D61739"/>
    <w:rsid w:val="00D65AC6"/>
    <w:rsid w:val="00D86439"/>
    <w:rsid w:val="00D94A22"/>
    <w:rsid w:val="00DA3CA3"/>
    <w:rsid w:val="00E179FD"/>
    <w:rsid w:val="00E32AA0"/>
    <w:rsid w:val="00E51034"/>
    <w:rsid w:val="00E660E2"/>
    <w:rsid w:val="00EA394C"/>
    <w:rsid w:val="00EA4097"/>
    <w:rsid w:val="00ED36CA"/>
    <w:rsid w:val="00F075C2"/>
    <w:rsid w:val="00FB1A9F"/>
    <w:rsid w:val="00FE10B9"/>
    <w:rsid w:val="00FF2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B298D"/>
  <w15:docId w15:val="{0B0D4FD2-62EA-4374-82FC-E5C7A8E90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6545C"/>
    <w:pPr>
      <w:keepNext/>
      <w:keepLines/>
      <w:spacing w:after="0" w:line="276" w:lineRule="auto"/>
      <w:jc w:val="both"/>
      <w:outlineLvl w:val="0"/>
    </w:pPr>
    <w:rPr>
      <w:rFonts w:ascii="Arial Narrow" w:eastAsia="Times New Roman" w:hAnsi="Arial Narrow" w:cs="Times New Roman"/>
      <w:b/>
      <w:bCs/>
      <w:caps/>
      <w:sz w:val="24"/>
      <w:szCs w:val="28"/>
    </w:rPr>
  </w:style>
  <w:style w:type="paragraph" w:styleId="Ttulo3">
    <w:name w:val="heading 3"/>
    <w:basedOn w:val="Normal"/>
    <w:next w:val="Normal"/>
    <w:link w:val="Ttulo3Char"/>
    <w:uiPriority w:val="9"/>
    <w:unhideWhenUsed/>
    <w:qFormat/>
    <w:rsid w:val="0046545C"/>
    <w:pPr>
      <w:keepNext/>
      <w:keepLines/>
      <w:spacing w:after="0" w:line="276" w:lineRule="auto"/>
      <w:ind w:firstLine="567"/>
      <w:jc w:val="both"/>
      <w:outlineLvl w:val="2"/>
    </w:pPr>
    <w:rPr>
      <w:rFonts w:ascii="Arial Narrow" w:eastAsia="Times New Roman" w:hAnsi="Arial Narrow" w:cs="Times New Roman"/>
      <w:bCs/>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94384"/>
    <w:rPr>
      <w:color w:val="0000FF"/>
      <w:u w:val="single"/>
    </w:rPr>
  </w:style>
  <w:style w:type="paragraph" w:styleId="PargrafodaLista">
    <w:name w:val="List Paragraph"/>
    <w:basedOn w:val="Normal"/>
    <w:uiPriority w:val="34"/>
    <w:qFormat/>
    <w:rsid w:val="000943E3"/>
    <w:pPr>
      <w:ind w:left="720"/>
      <w:contextualSpacing/>
    </w:pPr>
  </w:style>
  <w:style w:type="paragraph" w:styleId="Textodenotaderodap">
    <w:name w:val="footnote text"/>
    <w:aliases w:val="NotaRodape,Char,Char Char Char,Char Char, Char,Nota de Rodapé ABNT,FA Fu,Footnote Text Char Char Char Char Char,Footnote Text Char Char Char Char,Footnote reference,Footnote Text Char Char Char,footnote text,Footnote Text Cha"/>
    <w:basedOn w:val="Normal"/>
    <w:link w:val="TextodenotaderodapChar"/>
    <w:uiPriority w:val="99"/>
    <w:unhideWhenUsed/>
    <w:rsid w:val="00E660E2"/>
    <w:pPr>
      <w:spacing w:after="0" w:line="240" w:lineRule="auto"/>
    </w:pPr>
    <w:rPr>
      <w:sz w:val="20"/>
      <w:szCs w:val="20"/>
    </w:rPr>
  </w:style>
  <w:style w:type="character" w:customStyle="1" w:styleId="TextodenotaderodapChar">
    <w:name w:val="Texto de nota de rodapé Char"/>
    <w:aliases w:val="NotaRodape Char,Char Char1,Char Char Char Char,Char Char Char1, Char Char,Nota de Rodapé ABNT Char,FA Fu Char,Footnote Text Char Char Char Char Char Char,Footnote Text Char Char Char Char Char1,Footnote reference Char"/>
    <w:basedOn w:val="Fontepargpadro"/>
    <w:link w:val="Textodenotaderodap"/>
    <w:uiPriority w:val="99"/>
    <w:rsid w:val="00E660E2"/>
    <w:rPr>
      <w:sz w:val="20"/>
      <w:szCs w:val="20"/>
    </w:rPr>
  </w:style>
  <w:style w:type="character" w:styleId="Refdenotaderodap">
    <w:name w:val="footnote reference"/>
    <w:basedOn w:val="Fontepargpadro"/>
    <w:uiPriority w:val="99"/>
    <w:unhideWhenUsed/>
    <w:rsid w:val="00E660E2"/>
    <w:rPr>
      <w:vertAlign w:val="superscript"/>
    </w:rPr>
  </w:style>
  <w:style w:type="paragraph" w:styleId="Cabealho">
    <w:name w:val="header"/>
    <w:basedOn w:val="Normal"/>
    <w:link w:val="CabealhoChar"/>
    <w:uiPriority w:val="99"/>
    <w:unhideWhenUsed/>
    <w:rsid w:val="009051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5193"/>
  </w:style>
  <w:style w:type="paragraph" w:styleId="Rodap">
    <w:name w:val="footer"/>
    <w:basedOn w:val="Normal"/>
    <w:link w:val="RodapChar"/>
    <w:uiPriority w:val="99"/>
    <w:unhideWhenUsed/>
    <w:rsid w:val="00905193"/>
    <w:pPr>
      <w:tabs>
        <w:tab w:val="center" w:pos="4252"/>
        <w:tab w:val="right" w:pos="8504"/>
      </w:tabs>
      <w:spacing w:after="0" w:line="240" w:lineRule="auto"/>
    </w:pPr>
  </w:style>
  <w:style w:type="character" w:customStyle="1" w:styleId="RodapChar">
    <w:name w:val="Rodapé Char"/>
    <w:basedOn w:val="Fontepargpadro"/>
    <w:link w:val="Rodap"/>
    <w:uiPriority w:val="99"/>
    <w:rsid w:val="00905193"/>
  </w:style>
  <w:style w:type="paragraph" w:customStyle="1" w:styleId="Normal1">
    <w:name w:val="Normal1"/>
    <w:rsid w:val="00542415"/>
    <w:pPr>
      <w:spacing w:after="0" w:line="276" w:lineRule="auto"/>
    </w:pPr>
    <w:rPr>
      <w:rFonts w:ascii="Arial" w:eastAsia="Arial" w:hAnsi="Arial" w:cs="Arial"/>
    </w:rPr>
  </w:style>
  <w:style w:type="character" w:styleId="nfaseSutil">
    <w:name w:val="Subtle Emphasis"/>
    <w:basedOn w:val="Fontepargpadro"/>
    <w:uiPriority w:val="19"/>
    <w:qFormat/>
    <w:rsid w:val="00275C3F"/>
    <w:rPr>
      <w:i/>
      <w:iCs/>
      <w:color w:val="404040" w:themeColor="text1" w:themeTint="BF"/>
    </w:rPr>
  </w:style>
  <w:style w:type="paragraph" w:styleId="Textodebalo">
    <w:name w:val="Balloon Text"/>
    <w:basedOn w:val="Normal"/>
    <w:link w:val="TextodebaloChar"/>
    <w:uiPriority w:val="99"/>
    <w:semiHidden/>
    <w:unhideWhenUsed/>
    <w:rsid w:val="00AB661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6615"/>
    <w:rPr>
      <w:rFonts w:ascii="Tahoma" w:hAnsi="Tahoma" w:cs="Tahoma"/>
      <w:sz w:val="16"/>
      <w:szCs w:val="16"/>
    </w:rPr>
  </w:style>
  <w:style w:type="character" w:customStyle="1" w:styleId="Ttulo1Char">
    <w:name w:val="Título 1 Char"/>
    <w:basedOn w:val="Fontepargpadro"/>
    <w:link w:val="Ttulo1"/>
    <w:uiPriority w:val="9"/>
    <w:rsid w:val="0046545C"/>
    <w:rPr>
      <w:rFonts w:ascii="Arial Narrow" w:eastAsia="Times New Roman" w:hAnsi="Arial Narrow" w:cs="Times New Roman"/>
      <w:b/>
      <w:bCs/>
      <w:caps/>
      <w:sz w:val="24"/>
      <w:szCs w:val="28"/>
    </w:rPr>
  </w:style>
  <w:style w:type="character" w:customStyle="1" w:styleId="Ttulo3Char">
    <w:name w:val="Título 3 Char"/>
    <w:basedOn w:val="Fontepargpadro"/>
    <w:link w:val="Ttulo3"/>
    <w:uiPriority w:val="9"/>
    <w:rsid w:val="0046545C"/>
    <w:rPr>
      <w:rFonts w:ascii="Arial Narrow" w:eastAsia="Times New Roman" w:hAnsi="Arial Narrow" w:cs="Times New Roman"/>
      <w:bCs/>
      <w:caps/>
    </w:rPr>
  </w:style>
  <w:style w:type="paragraph" w:customStyle="1" w:styleId="Ementa">
    <w:name w:val="Ementa"/>
    <w:basedOn w:val="Normal"/>
    <w:uiPriority w:val="1"/>
    <w:qFormat/>
    <w:rsid w:val="0046545C"/>
    <w:pPr>
      <w:spacing w:after="0" w:line="276" w:lineRule="auto"/>
      <w:ind w:left="1134"/>
      <w:jc w:val="both"/>
    </w:pPr>
    <w:rPr>
      <w:rFonts w:ascii="Arial Narrow" w:eastAsia="Calibri" w:hAnsi="Arial Narrow" w:cs="Arial"/>
      <w:i/>
    </w:rPr>
  </w:style>
  <w:style w:type="character" w:styleId="Forte">
    <w:name w:val="Strong"/>
    <w:basedOn w:val="Fontepargpadro"/>
    <w:uiPriority w:val="22"/>
    <w:qFormat/>
    <w:rsid w:val="00052F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612714">
      <w:bodyDiv w:val="1"/>
      <w:marLeft w:val="0"/>
      <w:marRight w:val="0"/>
      <w:marTop w:val="0"/>
      <w:marBottom w:val="0"/>
      <w:divBdr>
        <w:top w:val="none" w:sz="0" w:space="0" w:color="auto"/>
        <w:left w:val="none" w:sz="0" w:space="0" w:color="auto"/>
        <w:bottom w:val="none" w:sz="0" w:space="0" w:color="auto"/>
        <w:right w:val="none" w:sz="0" w:space="0" w:color="auto"/>
      </w:divBdr>
    </w:div>
    <w:div w:id="17353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B7EB-C1B5-40FC-B936-EFA7E03D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2783</Words>
  <Characters>15030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Mylla Maria Sousa Sampaio</dc:creator>
  <cp:lastModifiedBy>Dayane Gomes da Silva Albuquerque</cp:lastModifiedBy>
  <cp:revision>2</cp:revision>
  <dcterms:created xsi:type="dcterms:W3CDTF">2021-06-09T12:13:00Z</dcterms:created>
  <dcterms:modified xsi:type="dcterms:W3CDTF">2021-06-09T12:13:00Z</dcterms:modified>
</cp:coreProperties>
</file>