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94A6E" w14:textId="4E1A48F8" w:rsidR="00720AAB" w:rsidRPr="003B4C1E" w:rsidRDefault="00720AAB" w:rsidP="001D44C1">
      <w:pPr>
        <w:pStyle w:val="Ttulo1"/>
        <w:tabs>
          <w:tab w:val="right" w:pos="9071"/>
        </w:tabs>
        <w:rPr>
          <w:rFonts w:ascii="Times New Roman" w:hAnsi="Times New Roman"/>
          <w:b w:val="0"/>
          <w:szCs w:val="24"/>
        </w:rPr>
      </w:pPr>
      <w:r w:rsidRPr="003B4C1E">
        <w:rPr>
          <w:rFonts w:ascii="Times New Roman" w:hAnsi="Times New Roman"/>
          <w:b w:val="0"/>
          <w:szCs w:val="24"/>
        </w:rPr>
        <w:t xml:space="preserve">MENSAGEM Nº     </w:t>
      </w:r>
      <w:r w:rsidR="008521B2">
        <w:rPr>
          <w:rFonts w:ascii="Times New Roman" w:hAnsi="Times New Roman"/>
          <w:b w:val="0"/>
          <w:szCs w:val="24"/>
        </w:rPr>
        <w:t>56      /2022</w:t>
      </w:r>
      <w:r w:rsidR="008521B2">
        <w:rPr>
          <w:rFonts w:ascii="Times New Roman" w:hAnsi="Times New Roman"/>
          <w:b w:val="0"/>
          <w:szCs w:val="24"/>
        </w:rPr>
        <w:tab/>
        <w:t>São Luís, 02</w:t>
      </w:r>
      <w:proofErr w:type="gramStart"/>
      <w:r w:rsidR="008521B2">
        <w:rPr>
          <w:rFonts w:ascii="Times New Roman" w:hAnsi="Times New Roman"/>
          <w:b w:val="0"/>
          <w:szCs w:val="24"/>
        </w:rPr>
        <w:t xml:space="preserve"> </w:t>
      </w:r>
      <w:r w:rsidR="0059649B">
        <w:rPr>
          <w:rFonts w:ascii="Times New Roman" w:hAnsi="Times New Roman"/>
          <w:b w:val="0"/>
          <w:szCs w:val="24"/>
        </w:rPr>
        <w:t xml:space="preserve"> </w:t>
      </w:r>
      <w:proofErr w:type="gramEnd"/>
      <w:r w:rsidR="008521B2">
        <w:rPr>
          <w:rFonts w:ascii="Times New Roman" w:hAnsi="Times New Roman"/>
          <w:b w:val="0"/>
          <w:szCs w:val="24"/>
        </w:rPr>
        <w:t>de</w:t>
      </w:r>
      <w:r w:rsidRPr="003B4C1E">
        <w:rPr>
          <w:rFonts w:ascii="Times New Roman" w:hAnsi="Times New Roman"/>
          <w:b w:val="0"/>
          <w:szCs w:val="24"/>
        </w:rPr>
        <w:t xml:space="preserve"> </w:t>
      </w:r>
      <w:r w:rsidR="008521B2">
        <w:rPr>
          <w:rFonts w:ascii="Times New Roman" w:hAnsi="Times New Roman"/>
          <w:b w:val="0"/>
          <w:szCs w:val="24"/>
        </w:rPr>
        <w:t>agosto</w:t>
      </w:r>
      <w:r w:rsidRPr="003B4C1E">
        <w:rPr>
          <w:rFonts w:ascii="Times New Roman" w:hAnsi="Times New Roman"/>
          <w:b w:val="0"/>
          <w:szCs w:val="24"/>
        </w:rPr>
        <w:t xml:space="preserve"> de 2022.</w:t>
      </w:r>
    </w:p>
    <w:p w14:paraId="25B95506" w14:textId="77777777" w:rsidR="00720AAB" w:rsidRPr="003B4C1E" w:rsidRDefault="00720AAB" w:rsidP="001D44C1">
      <w:pPr>
        <w:jc w:val="both"/>
      </w:pPr>
    </w:p>
    <w:p w14:paraId="51FF92B5" w14:textId="77777777" w:rsidR="00720AAB" w:rsidRPr="003B4C1E" w:rsidRDefault="00720AAB" w:rsidP="001D44C1">
      <w:pPr>
        <w:jc w:val="both"/>
      </w:pPr>
    </w:p>
    <w:p w14:paraId="54AC0730" w14:textId="77777777" w:rsidR="00720AAB" w:rsidRPr="003B4C1E" w:rsidRDefault="00720AAB" w:rsidP="001D44C1">
      <w:pPr>
        <w:jc w:val="both"/>
      </w:pPr>
    </w:p>
    <w:p w14:paraId="669CA9AE" w14:textId="77777777" w:rsidR="00720AAB" w:rsidRPr="003B4C1E" w:rsidRDefault="00720AAB" w:rsidP="001D44C1">
      <w:pPr>
        <w:jc w:val="both"/>
      </w:pPr>
    </w:p>
    <w:p w14:paraId="232671F9" w14:textId="77777777" w:rsidR="00720AAB" w:rsidRPr="003B4C1E" w:rsidRDefault="00720AAB" w:rsidP="001D44C1">
      <w:pPr>
        <w:jc w:val="both"/>
      </w:pPr>
      <w:bookmarkStart w:id="0" w:name="_GoBack"/>
      <w:bookmarkEnd w:id="0"/>
    </w:p>
    <w:p w14:paraId="14EF174E" w14:textId="77777777" w:rsidR="00720AAB" w:rsidRPr="003B4C1E" w:rsidRDefault="00720AAB" w:rsidP="001D44C1">
      <w:pPr>
        <w:jc w:val="both"/>
      </w:pPr>
    </w:p>
    <w:p w14:paraId="335DC781" w14:textId="77777777" w:rsidR="00720AAB" w:rsidRPr="003B4C1E" w:rsidRDefault="00720AAB" w:rsidP="001D44C1">
      <w:pPr>
        <w:jc w:val="both"/>
      </w:pPr>
    </w:p>
    <w:p w14:paraId="2FBB743C" w14:textId="77777777" w:rsidR="00720AAB" w:rsidRPr="003B4C1E" w:rsidRDefault="00720AAB" w:rsidP="001D44C1">
      <w:pPr>
        <w:jc w:val="both"/>
      </w:pPr>
    </w:p>
    <w:p w14:paraId="4566E981" w14:textId="77777777" w:rsidR="00720AAB" w:rsidRPr="003B4C1E" w:rsidRDefault="00720AAB" w:rsidP="001D44C1">
      <w:pPr>
        <w:jc w:val="both"/>
      </w:pPr>
    </w:p>
    <w:p w14:paraId="1818CD30" w14:textId="77777777" w:rsidR="00720AAB" w:rsidRPr="003B4C1E" w:rsidRDefault="00720AAB" w:rsidP="001D44C1">
      <w:pPr>
        <w:jc w:val="both"/>
      </w:pPr>
      <w:r w:rsidRPr="003B4C1E">
        <w:t>Senhor Presidente,</w:t>
      </w:r>
    </w:p>
    <w:p w14:paraId="0A845D51" w14:textId="77777777" w:rsidR="00720AAB" w:rsidRPr="003B4C1E" w:rsidRDefault="00720AAB" w:rsidP="001D44C1">
      <w:pPr>
        <w:jc w:val="both"/>
      </w:pPr>
    </w:p>
    <w:p w14:paraId="027ABC7B" w14:textId="5C084B6B" w:rsidR="00720AAB" w:rsidRDefault="00720AAB" w:rsidP="001D44C1">
      <w:pPr>
        <w:ind w:firstLine="1418"/>
        <w:jc w:val="both"/>
      </w:pPr>
      <w:r w:rsidRPr="003B4C1E">
        <w:t xml:space="preserve">Comunico a Vossa Excelência que, nos termos dos </w:t>
      </w:r>
      <w:r w:rsidR="00DA4DFC" w:rsidRPr="003B4C1E">
        <w:t xml:space="preserve">arts. 47, </w:t>
      </w:r>
      <w:r w:rsidR="00DA4DFC" w:rsidRPr="003B4C1E">
        <w:rPr>
          <w:i/>
          <w:iCs/>
        </w:rPr>
        <w:t>caput</w:t>
      </w:r>
      <w:r w:rsidR="00DA4DFC" w:rsidRPr="003B4C1E">
        <w:t>, e 64, IV</w:t>
      </w:r>
      <w:r w:rsidRPr="003B4C1E">
        <w:t>, da Constituição Estadual, decidi ve</w:t>
      </w:r>
      <w:r w:rsidRPr="001D44C1">
        <w:t xml:space="preserve">tar parcialmente, por padecer de vício de inconstitucionalidade, o Projeto de Lei nº </w:t>
      </w:r>
      <w:r w:rsidR="00CE33FB" w:rsidRPr="001D44C1">
        <w:t>184</w:t>
      </w:r>
      <w:r w:rsidRPr="001D44C1">
        <w:t>/20</w:t>
      </w:r>
      <w:r w:rsidR="00CE33FB" w:rsidRPr="001D44C1">
        <w:t>22</w:t>
      </w:r>
      <w:r w:rsidRPr="001D44C1">
        <w:t xml:space="preserve">, que dispõe sobre </w:t>
      </w:r>
      <w:r w:rsidR="001D44C1" w:rsidRPr="001D44C1">
        <w:t>as</w:t>
      </w:r>
      <w:r w:rsidR="00CE33FB" w:rsidRPr="001D44C1">
        <w:t xml:space="preserve"> diretrizes para elaboração e execução da Lei Orçamentária de 2023.</w:t>
      </w:r>
    </w:p>
    <w:p w14:paraId="72530391" w14:textId="77777777" w:rsidR="00CE33FB" w:rsidRPr="003B4C1E" w:rsidRDefault="00CE33FB" w:rsidP="001D44C1">
      <w:pPr>
        <w:ind w:firstLine="1418"/>
        <w:jc w:val="both"/>
      </w:pPr>
    </w:p>
    <w:p w14:paraId="399D5F8D" w14:textId="77777777" w:rsidR="00720AAB" w:rsidRPr="003B4C1E" w:rsidRDefault="00720AAB" w:rsidP="001D44C1">
      <w:pPr>
        <w:ind w:firstLine="1418"/>
        <w:jc w:val="both"/>
      </w:pPr>
      <w:r w:rsidRPr="003B4C1E">
        <w:t>Ao fazer-lhe a presente comunicação, passo às mãos de Vossa Excelência as razões do veto, as quais, como há de convir essa Augusta Assembleia, justificam-no plenamente.</w:t>
      </w:r>
    </w:p>
    <w:p w14:paraId="656765C9" w14:textId="77777777" w:rsidR="00720AAB" w:rsidRPr="003B4C1E" w:rsidRDefault="00720AAB" w:rsidP="001D44C1">
      <w:pPr>
        <w:ind w:firstLine="1418"/>
        <w:jc w:val="both"/>
      </w:pPr>
    </w:p>
    <w:p w14:paraId="4AB8BE63" w14:textId="77777777" w:rsidR="00720AAB" w:rsidRPr="003B4C1E" w:rsidRDefault="00720AAB" w:rsidP="001D44C1">
      <w:pPr>
        <w:ind w:firstLine="1418"/>
        <w:jc w:val="both"/>
      </w:pPr>
      <w:r w:rsidRPr="003B4C1E">
        <w:t>Na oportunidade, renovo a Vossa Excelência e aos seus ilustres pares meus protestos de consideração e apreço.</w:t>
      </w:r>
    </w:p>
    <w:p w14:paraId="2C6CCB29" w14:textId="77777777" w:rsidR="00720AAB" w:rsidRPr="003B4C1E" w:rsidRDefault="00720AAB" w:rsidP="001D44C1">
      <w:pPr>
        <w:ind w:firstLine="1418"/>
        <w:jc w:val="both"/>
      </w:pPr>
    </w:p>
    <w:p w14:paraId="64BAACA6" w14:textId="77777777" w:rsidR="00720AAB" w:rsidRPr="003B4C1E" w:rsidRDefault="00720AAB" w:rsidP="001D44C1">
      <w:pPr>
        <w:ind w:firstLine="1418"/>
        <w:jc w:val="both"/>
      </w:pPr>
      <w:r w:rsidRPr="003B4C1E">
        <w:t xml:space="preserve">Atenciosamente, </w:t>
      </w:r>
    </w:p>
    <w:p w14:paraId="687E4474" w14:textId="77777777" w:rsidR="00720AAB" w:rsidRPr="003B4C1E" w:rsidRDefault="00720AAB" w:rsidP="001D44C1">
      <w:pPr>
        <w:ind w:firstLine="1701"/>
        <w:jc w:val="both"/>
      </w:pPr>
    </w:p>
    <w:p w14:paraId="4F150269" w14:textId="77777777" w:rsidR="00720AAB" w:rsidRPr="003B4C1E" w:rsidRDefault="00720AAB" w:rsidP="001D44C1">
      <w:pPr>
        <w:jc w:val="center"/>
      </w:pPr>
    </w:p>
    <w:p w14:paraId="740A620A" w14:textId="77777777" w:rsidR="00720AAB" w:rsidRPr="003B4C1E" w:rsidRDefault="00720AAB" w:rsidP="001D44C1">
      <w:pPr>
        <w:jc w:val="center"/>
      </w:pPr>
      <w:r w:rsidRPr="003B4C1E">
        <w:t>CARLOS BRANDÃO</w:t>
      </w:r>
    </w:p>
    <w:p w14:paraId="4D60090D" w14:textId="77777777" w:rsidR="00720AAB" w:rsidRPr="003B4C1E" w:rsidRDefault="00720AAB" w:rsidP="001D44C1">
      <w:pPr>
        <w:jc w:val="center"/>
      </w:pPr>
      <w:r w:rsidRPr="003B4C1E">
        <w:t>Governador do Estado do Maranhão</w:t>
      </w:r>
    </w:p>
    <w:p w14:paraId="78481574" w14:textId="77777777" w:rsidR="00720AAB" w:rsidRPr="003B4C1E" w:rsidRDefault="00720AAB" w:rsidP="001D44C1">
      <w:pPr>
        <w:ind w:firstLine="1418"/>
        <w:jc w:val="both"/>
      </w:pPr>
    </w:p>
    <w:p w14:paraId="006C0C43" w14:textId="77777777" w:rsidR="00720AAB" w:rsidRPr="003B4C1E" w:rsidRDefault="00720AAB" w:rsidP="001D44C1">
      <w:pPr>
        <w:jc w:val="center"/>
      </w:pPr>
    </w:p>
    <w:p w14:paraId="4C1F2966" w14:textId="77777777" w:rsidR="00720AAB" w:rsidRPr="003B4C1E" w:rsidRDefault="00720AAB" w:rsidP="001D44C1">
      <w:pPr>
        <w:jc w:val="both"/>
      </w:pPr>
    </w:p>
    <w:p w14:paraId="62841DB2" w14:textId="77777777" w:rsidR="00720AAB" w:rsidRPr="003B4C1E" w:rsidRDefault="00720AAB" w:rsidP="001D44C1">
      <w:pPr>
        <w:jc w:val="both"/>
      </w:pPr>
    </w:p>
    <w:p w14:paraId="017433B3" w14:textId="77777777" w:rsidR="00720AAB" w:rsidRPr="003B4C1E" w:rsidRDefault="00720AAB" w:rsidP="001D44C1">
      <w:pPr>
        <w:jc w:val="both"/>
      </w:pPr>
    </w:p>
    <w:p w14:paraId="61EFFB12" w14:textId="77777777" w:rsidR="00720AAB" w:rsidRPr="003B4C1E" w:rsidRDefault="00720AAB" w:rsidP="001D44C1">
      <w:pPr>
        <w:jc w:val="both"/>
      </w:pPr>
    </w:p>
    <w:p w14:paraId="4E7FBF5A" w14:textId="77777777" w:rsidR="00720AAB" w:rsidRPr="003B4C1E" w:rsidRDefault="00720AAB" w:rsidP="001D44C1">
      <w:pPr>
        <w:jc w:val="both"/>
      </w:pPr>
    </w:p>
    <w:p w14:paraId="15DCAE86" w14:textId="77777777" w:rsidR="00720AAB" w:rsidRPr="003B4C1E" w:rsidRDefault="00720AAB" w:rsidP="001D44C1">
      <w:r w:rsidRPr="003B4C1E">
        <w:t>A Sua Excelência o Senhor</w:t>
      </w:r>
    </w:p>
    <w:p w14:paraId="4E200174" w14:textId="77777777" w:rsidR="00720AAB" w:rsidRPr="003B4C1E" w:rsidRDefault="00720AAB" w:rsidP="001D44C1">
      <w:r w:rsidRPr="003B4C1E">
        <w:t>Deputado OTHELINO NETO</w:t>
      </w:r>
    </w:p>
    <w:p w14:paraId="3CE49083" w14:textId="77777777" w:rsidR="00720AAB" w:rsidRPr="003B4C1E" w:rsidRDefault="00720AAB" w:rsidP="001D44C1">
      <w:r w:rsidRPr="003B4C1E">
        <w:t>Presidente da Assembleia Legislativa do Estado do Maranhão</w:t>
      </w:r>
    </w:p>
    <w:p w14:paraId="2788D579" w14:textId="77777777" w:rsidR="00720AAB" w:rsidRPr="003B4C1E" w:rsidRDefault="00720AAB" w:rsidP="001D44C1">
      <w:r w:rsidRPr="003B4C1E">
        <w:t xml:space="preserve">Palácio Manuel </w:t>
      </w:r>
      <w:proofErr w:type="spellStart"/>
      <w:r w:rsidRPr="003B4C1E">
        <w:t>Beckman</w:t>
      </w:r>
      <w:proofErr w:type="spellEnd"/>
      <w:r w:rsidRPr="003B4C1E">
        <w:t xml:space="preserve"> </w:t>
      </w:r>
    </w:p>
    <w:p w14:paraId="47723B4E" w14:textId="77777777" w:rsidR="00720AAB" w:rsidRPr="003B4C1E" w:rsidRDefault="00720AAB" w:rsidP="001D44C1">
      <w:pPr>
        <w:jc w:val="both"/>
        <w:rPr>
          <w:w w:val="90"/>
        </w:rPr>
      </w:pPr>
      <w:r w:rsidRPr="003B4C1E">
        <w:t>Local</w:t>
      </w:r>
      <w:r w:rsidRPr="003B4C1E">
        <w:rPr>
          <w:w w:val="90"/>
        </w:rPr>
        <w:t xml:space="preserve"> </w:t>
      </w:r>
    </w:p>
    <w:p w14:paraId="0459E998" w14:textId="77777777" w:rsidR="00720AAB" w:rsidRPr="003B4C1E" w:rsidRDefault="00720AAB" w:rsidP="001D44C1">
      <w:pPr>
        <w:pStyle w:val="Corpodetexto2"/>
        <w:ind w:right="0"/>
        <w:rPr>
          <w:rFonts w:ascii="Times New Roman" w:hAnsi="Times New Roman"/>
          <w:color w:val="auto"/>
          <w:w w:val="80"/>
          <w:szCs w:val="24"/>
        </w:rPr>
        <w:sectPr w:rsidR="00720AAB" w:rsidRPr="003B4C1E" w:rsidSect="005B147F">
          <w:headerReference w:type="default" r:id="rId9"/>
          <w:pgSz w:w="11907" w:h="16840" w:code="9"/>
          <w:pgMar w:top="2835" w:right="851" w:bottom="1418" w:left="1418" w:header="567" w:footer="851" w:gutter="0"/>
          <w:cols w:space="720"/>
          <w:vAlign w:val="both"/>
          <w:noEndnote/>
          <w:docGrid w:linePitch="326"/>
        </w:sectPr>
      </w:pPr>
    </w:p>
    <w:p w14:paraId="627D6CC4" w14:textId="414DCD79" w:rsidR="00CE33FB" w:rsidRDefault="00720AAB" w:rsidP="001D44C1">
      <w:pPr>
        <w:ind w:left="5670"/>
        <w:jc w:val="both"/>
      </w:pPr>
      <w:r w:rsidRPr="003B4C1E">
        <w:lastRenderedPageBreak/>
        <w:t xml:space="preserve">Veto </w:t>
      </w:r>
      <w:r w:rsidRPr="001D44C1">
        <w:t xml:space="preserve">parcial ao </w:t>
      </w:r>
      <w:r w:rsidR="00CE33FB" w:rsidRPr="001D44C1">
        <w:t>Projeto de Lei nº 184/2022</w:t>
      </w:r>
      <w:r w:rsidRPr="001D44C1">
        <w:t xml:space="preserve">, que dispõe </w:t>
      </w:r>
      <w:r w:rsidR="001D44C1" w:rsidRPr="001D44C1">
        <w:t xml:space="preserve">sobre as </w:t>
      </w:r>
      <w:r w:rsidR="00CE33FB" w:rsidRPr="001D44C1">
        <w:t>diretrizes para elaboração e execução da Lei Orçamentária de 2023.</w:t>
      </w:r>
    </w:p>
    <w:p w14:paraId="5DCC60F2" w14:textId="00C27F03" w:rsidR="00720AAB" w:rsidRPr="003B4C1E" w:rsidRDefault="00720AAB" w:rsidP="001D44C1">
      <w:pPr>
        <w:ind w:left="5670"/>
        <w:jc w:val="both"/>
      </w:pPr>
    </w:p>
    <w:p w14:paraId="04B0174F" w14:textId="7820D33E" w:rsidR="00720AAB" w:rsidRPr="003B4C1E" w:rsidRDefault="00DA4DFC" w:rsidP="001D44C1">
      <w:pPr>
        <w:ind w:firstLine="1418"/>
        <w:jc w:val="both"/>
      </w:pPr>
      <w:r w:rsidRPr="003B4C1E">
        <w:rPr>
          <w:color w:val="222222"/>
        </w:rPr>
        <w:t xml:space="preserve">No uso das atribuições que me conferem os arts. 47, </w:t>
      </w:r>
      <w:r w:rsidRPr="003B4C1E">
        <w:rPr>
          <w:i/>
          <w:iCs/>
          <w:color w:val="222222"/>
        </w:rPr>
        <w:t>caput</w:t>
      </w:r>
      <w:r w:rsidRPr="003B4C1E">
        <w:rPr>
          <w:color w:val="222222"/>
        </w:rPr>
        <w:t xml:space="preserve">, e 64, IV, da Constituição Estadual, oponho veto </w:t>
      </w:r>
      <w:r w:rsidR="00720AAB" w:rsidRPr="003B4C1E">
        <w:t xml:space="preserve">parcial ao Projeto de Lei nº </w:t>
      </w:r>
      <w:r w:rsidR="00CE33FB">
        <w:t>184</w:t>
      </w:r>
      <w:r w:rsidR="00CE33FB" w:rsidRPr="003B4C1E">
        <w:t>/</w:t>
      </w:r>
      <w:r w:rsidR="00CE33FB">
        <w:t>2022</w:t>
      </w:r>
      <w:r w:rsidR="00720AAB" w:rsidRPr="003B4C1E">
        <w:t>.</w:t>
      </w:r>
    </w:p>
    <w:p w14:paraId="727ADAAF" w14:textId="77777777" w:rsidR="00720AAB" w:rsidRPr="003B4C1E" w:rsidRDefault="00720AAB" w:rsidP="001D44C1">
      <w:pPr>
        <w:ind w:firstLine="1418"/>
        <w:jc w:val="both"/>
      </w:pPr>
    </w:p>
    <w:p w14:paraId="6E24531F" w14:textId="77777777" w:rsidR="00720AAB" w:rsidRPr="003B4C1E" w:rsidRDefault="00720AAB" w:rsidP="001D44C1">
      <w:pPr>
        <w:jc w:val="center"/>
        <w:rPr>
          <w:b/>
        </w:rPr>
      </w:pPr>
      <w:r w:rsidRPr="003B4C1E">
        <w:rPr>
          <w:b/>
        </w:rPr>
        <w:t>RAZÕES DO VETO</w:t>
      </w:r>
    </w:p>
    <w:p w14:paraId="6D5CB55C" w14:textId="77777777" w:rsidR="00CE33FB" w:rsidRDefault="00CE33FB" w:rsidP="001D44C1">
      <w:pPr>
        <w:ind w:firstLine="1418"/>
        <w:jc w:val="both"/>
      </w:pPr>
    </w:p>
    <w:p w14:paraId="10551392" w14:textId="3F5CFBF5" w:rsidR="00CE33FB" w:rsidRDefault="00CE33FB" w:rsidP="00372352">
      <w:pPr>
        <w:ind w:firstLine="1418"/>
        <w:jc w:val="both"/>
      </w:pPr>
      <w:r w:rsidRPr="00CE33FB">
        <w:t>O conteúdo da L</w:t>
      </w:r>
      <w:r>
        <w:t xml:space="preserve">ei de Diretrizes Orçamentárias </w:t>
      </w:r>
      <w:r w:rsidRPr="00CE33FB">
        <w:t>está previsto no art. 165, § 2º, da Constituição Federal, que estabelece</w:t>
      </w:r>
      <w:r>
        <w:t xml:space="preserve"> ser esta lei uma norma de orientação de elaboração da lei orçamentária anual.</w:t>
      </w:r>
    </w:p>
    <w:p w14:paraId="3CAAB7E7" w14:textId="77777777" w:rsidR="00CE33FB" w:rsidRPr="00CE33FB" w:rsidRDefault="00CE33FB" w:rsidP="00372352">
      <w:pPr>
        <w:ind w:firstLine="1418"/>
        <w:jc w:val="both"/>
      </w:pPr>
    </w:p>
    <w:p w14:paraId="2ADC8781" w14:textId="66C56FC0" w:rsidR="00CE33FB" w:rsidRPr="00CE33FB" w:rsidRDefault="00CE33FB" w:rsidP="00372352">
      <w:pPr>
        <w:ind w:firstLine="1418"/>
        <w:jc w:val="both"/>
      </w:pPr>
      <w:r w:rsidRPr="00CE33FB">
        <w:t xml:space="preserve"> A L</w:t>
      </w:r>
      <w:r>
        <w:t xml:space="preserve">ei de Diretrizes Orçamentárias </w:t>
      </w:r>
      <w:r w:rsidRPr="00CE33FB">
        <w:t>é a peça orçamentária mais valorizada pela L</w:t>
      </w:r>
      <w:r>
        <w:t>ei de Responsabilidade Fiscal</w:t>
      </w:r>
      <w:r w:rsidRPr="00CE33FB">
        <w:t xml:space="preserve">. Esta expandiu o conteúdo das </w:t>
      </w:r>
      <w:r>
        <w:t xml:space="preserve">leis de diretrizes </w:t>
      </w:r>
      <w:r w:rsidRPr="00CE33FB">
        <w:t>e garantiu-lhe</w:t>
      </w:r>
      <w:r>
        <w:t>s</w:t>
      </w:r>
      <w:r w:rsidRPr="00CE33FB">
        <w:t xml:space="preserve"> papel especial de planejamento econômico-orçamentário no Brasil, estabelecendo uma série de comandos, sobretudo no art. 4º. </w:t>
      </w:r>
    </w:p>
    <w:p w14:paraId="6802661C" w14:textId="77777777" w:rsidR="00CE33FB" w:rsidRDefault="00CE33FB" w:rsidP="00372352">
      <w:pPr>
        <w:ind w:firstLine="1418"/>
        <w:jc w:val="both"/>
      </w:pPr>
    </w:p>
    <w:p w14:paraId="694733EE" w14:textId="4230D76E" w:rsidR="00CE33FB" w:rsidRPr="00CE33FB" w:rsidRDefault="00CE33FB" w:rsidP="00372352">
      <w:pPr>
        <w:ind w:firstLine="1418"/>
        <w:jc w:val="both"/>
      </w:pPr>
      <w:r w:rsidRPr="00CE33FB">
        <w:t>Com a promulgação da L</w:t>
      </w:r>
      <w:r>
        <w:t>ei de Responsabilidade Fiscal</w:t>
      </w:r>
      <w:r w:rsidR="000C3C02">
        <w:t>,</w:t>
      </w:r>
      <w:r>
        <w:t xml:space="preserve"> a Lei de Diretrizes Orçamentárias </w:t>
      </w:r>
      <w:r w:rsidRPr="00CE33FB">
        <w:t xml:space="preserve">recebeu novas e importantes prerrogativas, entre as quais, como menciona </w:t>
      </w:r>
      <w:proofErr w:type="spellStart"/>
      <w:r w:rsidRPr="00CE33FB">
        <w:t>Giacomoni</w:t>
      </w:r>
      <w:proofErr w:type="spellEnd"/>
      <w:r w:rsidRPr="00CE33FB">
        <w:t xml:space="preserve"> (GIACOMONI, James. Orçamento Público. 13. ed. ampliada, revista e atualizada. São Paulo: Atlas, 2005), equilíbrio entre receitas e despesas; metas fiscais; riscos fiscais; programação financeira e cronograma mensal de desembolso; critérios e formas de limitação de empenho; normas de controle de custo e avaliação dos programas financiados com recursos dos orçamentos; condições e exigências para transferências de recursos a entidades públicas e privadas; reserva de contingência; incentivo ou benefício de natureza tributária da qual decorra renúncia de receita.  </w:t>
      </w:r>
    </w:p>
    <w:p w14:paraId="4397A21F" w14:textId="77777777" w:rsidR="00CE33FB" w:rsidRDefault="00CE33FB" w:rsidP="00372352">
      <w:pPr>
        <w:ind w:firstLine="1418"/>
        <w:jc w:val="both"/>
      </w:pPr>
    </w:p>
    <w:p w14:paraId="63BE6F01" w14:textId="55A04692" w:rsidR="00CE33FB" w:rsidRDefault="00720AAB" w:rsidP="00372352">
      <w:pPr>
        <w:ind w:firstLine="1418"/>
        <w:jc w:val="both"/>
      </w:pPr>
      <w:r w:rsidRPr="003B4C1E">
        <w:t xml:space="preserve">O projeto de lei </w:t>
      </w:r>
      <w:r w:rsidR="00CE33FB">
        <w:t>184</w:t>
      </w:r>
      <w:r w:rsidR="00CE33FB" w:rsidRPr="003B4C1E">
        <w:t>/</w:t>
      </w:r>
      <w:r w:rsidR="00CE33FB">
        <w:t>2022 se manteve dentro destas balizas constitucionais e da lei de responsabilidade fiscal, comportando veto em apenas trecho de seu texto pelas razões que se explicitam a seguir.</w:t>
      </w:r>
    </w:p>
    <w:p w14:paraId="00C02BA8" w14:textId="67576C9F" w:rsidR="00A85147" w:rsidRDefault="00A85147" w:rsidP="001D44C1">
      <w:pPr>
        <w:ind w:firstLine="1418"/>
        <w:jc w:val="both"/>
      </w:pPr>
    </w:p>
    <w:p w14:paraId="38F5E887" w14:textId="60D069A1" w:rsidR="00A85147" w:rsidRDefault="00A85147" w:rsidP="001D44C1">
      <w:pPr>
        <w:ind w:firstLine="1418"/>
        <w:jc w:val="both"/>
      </w:pPr>
      <w:r>
        <w:t xml:space="preserve">O </w:t>
      </w:r>
      <w:r w:rsidRPr="001D44C1">
        <w:rPr>
          <w:b/>
          <w:bCs/>
          <w:u w:val="single"/>
        </w:rPr>
        <w:t>art. 31, §2º</w:t>
      </w:r>
      <w:r>
        <w:t xml:space="preserve"> do projeto de lei dispõe:</w:t>
      </w:r>
    </w:p>
    <w:p w14:paraId="4CE661D4" w14:textId="77777777" w:rsidR="00A85147" w:rsidRDefault="00A85147" w:rsidP="001D44C1">
      <w:pPr>
        <w:ind w:firstLine="1418"/>
        <w:jc w:val="both"/>
      </w:pPr>
    </w:p>
    <w:p w14:paraId="3D43D33D" w14:textId="77777777" w:rsidR="00A85147" w:rsidRPr="00372352" w:rsidRDefault="00A85147" w:rsidP="00372352">
      <w:pPr>
        <w:pBdr>
          <w:top w:val="nil"/>
          <w:left w:val="nil"/>
          <w:bottom w:val="nil"/>
          <w:right w:val="nil"/>
          <w:between w:val="nil"/>
        </w:pBdr>
        <w:ind w:left="2268"/>
        <w:jc w:val="both"/>
        <w:rPr>
          <w:sz w:val="20"/>
          <w:szCs w:val="20"/>
        </w:rPr>
      </w:pPr>
      <w:r w:rsidRPr="00372352">
        <w:rPr>
          <w:sz w:val="20"/>
          <w:szCs w:val="20"/>
        </w:rPr>
        <w:t>Art. 31.......................</w:t>
      </w:r>
    </w:p>
    <w:p w14:paraId="232AF61D" w14:textId="77777777" w:rsidR="001D44C1" w:rsidRPr="00372352" w:rsidRDefault="001D44C1" w:rsidP="00372352">
      <w:pPr>
        <w:ind w:left="2268"/>
        <w:jc w:val="both"/>
        <w:rPr>
          <w:color w:val="000000" w:themeColor="text1"/>
          <w:sz w:val="20"/>
          <w:szCs w:val="20"/>
        </w:rPr>
      </w:pPr>
    </w:p>
    <w:p w14:paraId="76DFF4D8" w14:textId="6E19AFBC" w:rsidR="00A85147" w:rsidRDefault="00A85147" w:rsidP="00372352">
      <w:pPr>
        <w:ind w:left="2268"/>
        <w:jc w:val="both"/>
        <w:rPr>
          <w:color w:val="000000" w:themeColor="text1"/>
          <w:sz w:val="20"/>
          <w:szCs w:val="20"/>
        </w:rPr>
      </w:pPr>
      <w:r w:rsidRPr="00372352">
        <w:rPr>
          <w:color w:val="000000" w:themeColor="text1"/>
          <w:sz w:val="20"/>
          <w:szCs w:val="20"/>
        </w:rPr>
        <w:t>§ 2º As dotações orçamentárias destinadas ao atendimento das emendas parlamentares impositivas, estando compatíveis com os objetos propostos, deverão constar da programação financeira e o cronograma de execução mensal de desembolso estabelecidos por meio de decreto do Governador do Estado, devendo o desembolso ser pago no respectivo exercício financeiro e nos subsequentes.</w:t>
      </w:r>
    </w:p>
    <w:p w14:paraId="6A77A4BF" w14:textId="77777777" w:rsidR="00372352" w:rsidRPr="00372352" w:rsidRDefault="00372352" w:rsidP="00372352">
      <w:pPr>
        <w:ind w:left="2268"/>
        <w:jc w:val="both"/>
        <w:rPr>
          <w:color w:val="000000" w:themeColor="text1"/>
          <w:sz w:val="20"/>
          <w:szCs w:val="20"/>
        </w:rPr>
      </w:pPr>
    </w:p>
    <w:p w14:paraId="2778C8FE" w14:textId="4A2E86AD" w:rsidR="00A85147" w:rsidRPr="00372352" w:rsidRDefault="00A85147" w:rsidP="00372352">
      <w:pPr>
        <w:pBdr>
          <w:top w:val="nil"/>
          <w:left w:val="nil"/>
          <w:bottom w:val="nil"/>
          <w:right w:val="nil"/>
          <w:between w:val="nil"/>
        </w:pBdr>
        <w:ind w:firstLine="1418"/>
        <w:jc w:val="both"/>
      </w:pPr>
      <w:r w:rsidRPr="00372352">
        <w:t xml:space="preserve"> Quanto ao </w:t>
      </w:r>
      <w:r w:rsidRPr="00372352">
        <w:rPr>
          <w:b/>
          <w:bCs/>
          <w:u w:val="single"/>
        </w:rPr>
        <w:t>§2º do art. 31</w:t>
      </w:r>
      <w:r w:rsidRPr="00372352">
        <w:t xml:space="preserve"> do </w:t>
      </w:r>
      <w:r w:rsidR="001D44C1" w:rsidRPr="00372352">
        <w:t xml:space="preserve">Projeto de Lei nº </w:t>
      </w:r>
      <w:r w:rsidRPr="00372352">
        <w:t xml:space="preserve">184/2022 é cabível o veto por invadir competência da União para dispor sobre normas gerais em direito financeiro (art. 24, inciso I da Constituição Federal) já que </w:t>
      </w:r>
      <w:r w:rsidRPr="00372352">
        <w:rPr>
          <w:b/>
          <w:bCs/>
        </w:rPr>
        <w:t xml:space="preserve">a União editou norma geral -  a Lei </w:t>
      </w:r>
      <w:r w:rsidR="001D44C1" w:rsidRPr="00372352">
        <w:rPr>
          <w:b/>
          <w:bCs/>
        </w:rPr>
        <w:t xml:space="preserve">nº </w:t>
      </w:r>
      <w:r w:rsidRPr="00372352">
        <w:rPr>
          <w:b/>
          <w:bCs/>
        </w:rPr>
        <w:t>4320/</w:t>
      </w:r>
      <w:r w:rsidR="001D44C1" w:rsidRPr="00372352">
        <w:rPr>
          <w:b/>
          <w:bCs/>
        </w:rPr>
        <w:t>19</w:t>
      </w:r>
      <w:r w:rsidRPr="00372352">
        <w:rPr>
          <w:b/>
          <w:bCs/>
        </w:rPr>
        <w:t>64</w:t>
      </w:r>
      <w:r w:rsidR="001D44C1" w:rsidRPr="00372352">
        <w:rPr>
          <w:b/>
          <w:bCs/>
        </w:rPr>
        <w:t xml:space="preserve"> </w:t>
      </w:r>
      <w:r w:rsidRPr="00372352">
        <w:rPr>
          <w:b/>
          <w:bCs/>
        </w:rPr>
        <w:t xml:space="preserve">- </w:t>
      </w:r>
      <w:r w:rsidRPr="00372352">
        <w:rPr>
          <w:b/>
          <w:bCs/>
        </w:rPr>
        <w:lastRenderedPageBreak/>
        <w:t xml:space="preserve">em que define serem os orçamentos, e por consequência, sua execução orçamentária, restritos a um exercício financeiro </w:t>
      </w:r>
      <w:r w:rsidRPr="00372352">
        <w:t>(art. 22 da Lei</w:t>
      </w:r>
      <w:r w:rsidR="001D44C1" w:rsidRPr="00372352">
        <w:t xml:space="preserve"> nº </w:t>
      </w:r>
      <w:r w:rsidRPr="00372352">
        <w:t>4320/64), não podendo ser acolhida norma diversa desta orientação por invadir competência da União para dispor sobre norma geral.</w:t>
      </w:r>
    </w:p>
    <w:p w14:paraId="5BA10A3C" w14:textId="77777777" w:rsidR="001D44C1" w:rsidRDefault="001D44C1" w:rsidP="001D44C1">
      <w:pPr>
        <w:ind w:firstLine="1418"/>
        <w:jc w:val="both"/>
      </w:pPr>
    </w:p>
    <w:p w14:paraId="76689F4C" w14:textId="7BB5824D" w:rsidR="00A85147" w:rsidRDefault="00A85147" w:rsidP="001D44C1">
      <w:pPr>
        <w:ind w:firstLine="1418"/>
        <w:jc w:val="both"/>
      </w:pPr>
      <w:r>
        <w:t xml:space="preserve">O veto por inconstitucionalidade também se impõe aos parágrafos §3º,  4º e 7º do art. 31 do </w:t>
      </w:r>
      <w:r w:rsidRPr="001D44C1">
        <w:t xml:space="preserve">projeto de lei 184/2022  que conferem atribuições a órgãos vinculados ao Poder Executivo, matéria que só poderia ser disposta em projeto de lei de iniciativa do Governador do Estado, conforme art. </w:t>
      </w:r>
      <w:r w:rsidR="001D44C1" w:rsidRPr="001D44C1">
        <w:t xml:space="preserve">43, </w:t>
      </w:r>
      <w:proofErr w:type="spellStart"/>
      <w:r w:rsidR="001D44C1" w:rsidRPr="001D44C1">
        <w:t>incisoV</w:t>
      </w:r>
      <w:proofErr w:type="spellEnd"/>
      <w:r w:rsidR="001D44C1" w:rsidRPr="001D44C1">
        <w:rPr>
          <w:rStyle w:val="Refdenotaderodap"/>
        </w:rPr>
        <w:footnoteReference w:id="1"/>
      </w:r>
      <w:r w:rsidRPr="001D44C1">
        <w:t xml:space="preserve"> da Constituição do Estado do Maranhão.</w:t>
      </w:r>
    </w:p>
    <w:p w14:paraId="57F5BAEF" w14:textId="0911583E" w:rsidR="00CE33FB" w:rsidRDefault="00CE33FB" w:rsidP="001D44C1">
      <w:pPr>
        <w:ind w:firstLine="1418"/>
        <w:jc w:val="both"/>
      </w:pPr>
    </w:p>
    <w:p w14:paraId="7972E7D6" w14:textId="32ACFA87" w:rsidR="00CE33FB" w:rsidRPr="00372352" w:rsidRDefault="00CE33FB" w:rsidP="00372352">
      <w:pPr>
        <w:ind w:firstLine="1418"/>
        <w:jc w:val="both"/>
      </w:pPr>
      <w:r w:rsidRPr="00372352">
        <w:t xml:space="preserve">O </w:t>
      </w:r>
      <w:r w:rsidRPr="00372352">
        <w:rPr>
          <w:b/>
          <w:bCs/>
          <w:u w:val="single"/>
        </w:rPr>
        <w:t>art. 31, §5</w:t>
      </w:r>
      <w:r w:rsidR="000C3C02" w:rsidRPr="00372352">
        <w:rPr>
          <w:b/>
          <w:bCs/>
          <w:u w:val="single"/>
        </w:rPr>
        <w:t>º</w:t>
      </w:r>
      <w:r w:rsidRPr="00372352">
        <w:t xml:space="preserve"> do projeto de lei dispõe:</w:t>
      </w:r>
    </w:p>
    <w:p w14:paraId="18E3856F" w14:textId="77777777" w:rsidR="00CE33FB" w:rsidRPr="00372352" w:rsidRDefault="00CE33FB" w:rsidP="00372352">
      <w:pPr>
        <w:ind w:left="2268"/>
        <w:jc w:val="both"/>
        <w:rPr>
          <w:sz w:val="20"/>
          <w:szCs w:val="20"/>
        </w:rPr>
      </w:pPr>
    </w:p>
    <w:p w14:paraId="7C97C417" w14:textId="2427A80E" w:rsidR="00CE33FB" w:rsidRPr="00372352" w:rsidRDefault="00CE33FB" w:rsidP="00372352">
      <w:pPr>
        <w:pBdr>
          <w:top w:val="nil"/>
          <w:left w:val="nil"/>
          <w:bottom w:val="nil"/>
          <w:right w:val="nil"/>
          <w:between w:val="nil"/>
        </w:pBdr>
        <w:ind w:left="2268"/>
        <w:jc w:val="both"/>
        <w:rPr>
          <w:sz w:val="20"/>
          <w:szCs w:val="20"/>
        </w:rPr>
      </w:pPr>
      <w:r w:rsidRPr="00372352">
        <w:rPr>
          <w:sz w:val="20"/>
          <w:szCs w:val="20"/>
        </w:rPr>
        <w:t>Art. 31.......................</w:t>
      </w:r>
    </w:p>
    <w:p w14:paraId="12D75939" w14:textId="45419146" w:rsidR="00CE33FB" w:rsidRPr="00372352" w:rsidRDefault="00CE33FB" w:rsidP="00372352">
      <w:pPr>
        <w:pBdr>
          <w:top w:val="nil"/>
          <w:left w:val="nil"/>
          <w:bottom w:val="nil"/>
          <w:right w:val="nil"/>
          <w:between w:val="nil"/>
        </w:pBdr>
        <w:ind w:left="2268"/>
        <w:jc w:val="both"/>
        <w:rPr>
          <w:sz w:val="20"/>
          <w:szCs w:val="20"/>
        </w:rPr>
      </w:pPr>
      <w:r w:rsidRPr="00372352">
        <w:rPr>
          <w:sz w:val="20"/>
          <w:szCs w:val="20"/>
        </w:rPr>
        <w:t xml:space="preserve">§ 5º A obrigatoriedade de execução orçamentária e financeira de que trata o §1º do art. 136-A da Constituição do Estado compreende, cumulativamente, o empenho, a liquidação e o pagamento dentro do exercício financeiro. </w:t>
      </w:r>
    </w:p>
    <w:p w14:paraId="5211DB74" w14:textId="77777777" w:rsidR="00CE33FB" w:rsidRDefault="00CE33FB" w:rsidP="001D44C1">
      <w:pPr>
        <w:jc w:val="both"/>
        <w:rPr>
          <w:rFonts w:ascii="Bookman Old Style" w:hAnsi="Bookman Old Style"/>
          <w:sz w:val="28"/>
          <w:szCs w:val="28"/>
        </w:rPr>
      </w:pPr>
    </w:p>
    <w:p w14:paraId="09D66632" w14:textId="36477373" w:rsidR="00CE33FB" w:rsidRDefault="00CE33FB" w:rsidP="001D44C1">
      <w:pPr>
        <w:ind w:firstLine="1418"/>
        <w:jc w:val="both"/>
      </w:pPr>
      <w:r w:rsidRPr="00CE33FB">
        <w:t>Quanto ao §5º do art. 31 entende-se cabível o veto tendo em vista que ao definir todo o ciclo de execução da despesa, inclusive o pagamento, dentro do exercício financeiro, contraria a Constituição Federal que permite a inscrição de pagamentos não realizados dentro do exercício em restos a pagar, inclusive quanto às emendas impositivas</w:t>
      </w:r>
      <w:r w:rsidR="00A85147">
        <w:t xml:space="preserve">, como se deduz da análise do art. 166, § 17 da </w:t>
      </w:r>
      <w:r w:rsidRPr="00CE33FB">
        <w:t>Constituição Federal</w:t>
      </w:r>
      <w:r w:rsidR="001D44C1">
        <w:t>.</w:t>
      </w:r>
    </w:p>
    <w:p w14:paraId="1B82F7C6" w14:textId="77777777" w:rsidR="001D44C1" w:rsidRDefault="001D44C1" w:rsidP="001D44C1">
      <w:pPr>
        <w:ind w:firstLine="1418"/>
        <w:jc w:val="both"/>
        <w:rPr>
          <w:rFonts w:ascii="Bookman Old Style" w:hAnsi="Bookman Old Style"/>
          <w:sz w:val="28"/>
          <w:szCs w:val="28"/>
        </w:rPr>
      </w:pPr>
    </w:p>
    <w:p w14:paraId="2ECB8675" w14:textId="3495DE2E" w:rsidR="00720AAB" w:rsidRPr="00372352" w:rsidRDefault="00CE33FB" w:rsidP="001D44C1">
      <w:pPr>
        <w:jc w:val="both"/>
        <w:rPr>
          <w:b/>
          <w:bCs/>
          <w:u w:val="single"/>
        </w:rPr>
      </w:pPr>
      <w:r>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ab/>
      </w:r>
      <w:r w:rsidR="00720AAB" w:rsidRPr="003B4C1E">
        <w:t>Desse modo, tendo em vista o Princípio da Separação dos Poderes (art. 6º, Constituição Estadual e art. 2º, Constituição Federal) e considerando que o legislador infraconstitucional não pode interferir na construção do constituinte</w:t>
      </w:r>
      <w:r w:rsidR="00A85147">
        <w:t xml:space="preserve"> originário</w:t>
      </w:r>
      <w:r w:rsidR="00720AAB" w:rsidRPr="003B4C1E">
        <w:t xml:space="preserve">, de modo a criar ou ampliar os campos de intersecção entre os Poderes estatais, </w:t>
      </w:r>
      <w:r w:rsidR="00E719F9">
        <w:t xml:space="preserve">bem como o art. 166, § 17 da Constituição Federal </w:t>
      </w:r>
      <w:r w:rsidR="00720AAB" w:rsidRPr="00372352">
        <w:rPr>
          <w:b/>
          <w:bCs/>
          <w:u w:val="single"/>
        </w:rPr>
        <w:t>oponho veto ao</w:t>
      </w:r>
      <w:r w:rsidR="00E719F9" w:rsidRPr="00372352">
        <w:rPr>
          <w:b/>
          <w:bCs/>
          <w:u w:val="single"/>
        </w:rPr>
        <w:t xml:space="preserve">s §§ </w:t>
      </w:r>
      <w:r w:rsidR="00A85147" w:rsidRPr="00372352">
        <w:rPr>
          <w:b/>
          <w:bCs/>
          <w:u w:val="single"/>
        </w:rPr>
        <w:t xml:space="preserve">2º, 3º, 4º, </w:t>
      </w:r>
      <w:r w:rsidR="00E719F9" w:rsidRPr="00372352">
        <w:rPr>
          <w:b/>
          <w:bCs/>
          <w:u w:val="single"/>
        </w:rPr>
        <w:t xml:space="preserve">5º e 7º do art. 31 do </w:t>
      </w:r>
      <w:r w:rsidR="00720AAB" w:rsidRPr="00372352">
        <w:rPr>
          <w:b/>
          <w:bCs/>
          <w:u w:val="single"/>
        </w:rPr>
        <w:t xml:space="preserve">Projeto de Lei nº </w:t>
      </w:r>
      <w:r w:rsidR="00E719F9" w:rsidRPr="00372352">
        <w:rPr>
          <w:b/>
          <w:bCs/>
          <w:u w:val="single"/>
        </w:rPr>
        <w:t>184</w:t>
      </w:r>
      <w:r w:rsidR="00720AAB" w:rsidRPr="00372352">
        <w:rPr>
          <w:b/>
          <w:bCs/>
          <w:u w:val="single"/>
        </w:rPr>
        <w:t>/20</w:t>
      </w:r>
      <w:r w:rsidR="00E719F9" w:rsidRPr="00372352">
        <w:rPr>
          <w:b/>
          <w:bCs/>
          <w:u w:val="single"/>
        </w:rPr>
        <w:t>22</w:t>
      </w:r>
      <w:r w:rsidR="00720AAB" w:rsidRPr="00372352">
        <w:rPr>
          <w:b/>
          <w:bCs/>
          <w:u w:val="single"/>
        </w:rPr>
        <w:t xml:space="preserve"> por padecer</w:t>
      </w:r>
      <w:r w:rsidR="008803F2" w:rsidRPr="00372352">
        <w:rPr>
          <w:b/>
          <w:bCs/>
          <w:u w:val="single"/>
        </w:rPr>
        <w:t>em</w:t>
      </w:r>
      <w:r w:rsidR="00720AAB" w:rsidRPr="00372352">
        <w:rPr>
          <w:b/>
          <w:bCs/>
          <w:u w:val="single"/>
        </w:rPr>
        <w:t xml:space="preserve"> de vício de inconstitucionalidade</w:t>
      </w:r>
      <w:r w:rsidR="00E719F9" w:rsidRPr="00372352">
        <w:rPr>
          <w:b/>
          <w:bCs/>
          <w:u w:val="single"/>
        </w:rPr>
        <w:t>.</w:t>
      </w:r>
    </w:p>
    <w:p w14:paraId="50F1FD9C" w14:textId="77777777" w:rsidR="00720AAB" w:rsidRPr="003B4C1E" w:rsidRDefault="00720AAB" w:rsidP="001D44C1">
      <w:pPr>
        <w:ind w:firstLine="1418"/>
        <w:jc w:val="both"/>
      </w:pPr>
    </w:p>
    <w:p w14:paraId="6E9B31F8" w14:textId="77777777" w:rsidR="00720AAB" w:rsidRPr="003B4C1E" w:rsidRDefault="00720AAB" w:rsidP="001D44C1">
      <w:pPr>
        <w:tabs>
          <w:tab w:val="left" w:pos="426"/>
          <w:tab w:val="left" w:pos="7820"/>
        </w:tabs>
        <w:ind w:firstLine="1418"/>
        <w:jc w:val="both"/>
      </w:pPr>
      <w:r w:rsidRPr="003B4C1E">
        <w:lastRenderedPageBreak/>
        <w:t xml:space="preserve">Interpretação diversa conflitaria com o texto constitucional vigente e implicaria desrespeito ao Princípio da Superioridade Normativa da Constituição cuja ideia central consiste na soberania do texto constitucional no ordenamento jurídico, bem como na obrigatoriedade de adequação todas as demais leis e atos normativos a ela. </w:t>
      </w:r>
    </w:p>
    <w:p w14:paraId="52D8F14D" w14:textId="77777777" w:rsidR="00720AAB" w:rsidRPr="003B4C1E" w:rsidRDefault="00720AAB" w:rsidP="001D44C1">
      <w:pPr>
        <w:tabs>
          <w:tab w:val="left" w:pos="426"/>
          <w:tab w:val="left" w:pos="7820"/>
        </w:tabs>
        <w:ind w:firstLine="1418"/>
        <w:jc w:val="both"/>
      </w:pPr>
    </w:p>
    <w:p w14:paraId="67ADFAB3" w14:textId="6AAC9C91" w:rsidR="00720AAB" w:rsidRPr="003B4C1E" w:rsidRDefault="00720AAB" w:rsidP="001D44C1">
      <w:pPr>
        <w:ind w:firstLine="1418"/>
        <w:jc w:val="both"/>
      </w:pPr>
      <w:r w:rsidRPr="003B4C1E">
        <w:t xml:space="preserve">Estas, portanto, Senhor Presidente, são as razões que me fizeram vetar parcialmente o Projeto de Lei nº </w:t>
      </w:r>
      <w:r w:rsidR="00E719F9">
        <w:t>184</w:t>
      </w:r>
      <w:r w:rsidRPr="003B4C1E">
        <w:t>/20</w:t>
      </w:r>
      <w:r w:rsidR="00E719F9">
        <w:t>22</w:t>
      </w:r>
      <w:r w:rsidRPr="003B4C1E">
        <w:t>.</w:t>
      </w:r>
    </w:p>
    <w:p w14:paraId="18779C2B" w14:textId="77777777" w:rsidR="00720AAB" w:rsidRPr="003B4C1E" w:rsidRDefault="00720AAB" w:rsidP="001D44C1">
      <w:pPr>
        <w:ind w:firstLine="1418"/>
        <w:jc w:val="both"/>
      </w:pPr>
    </w:p>
    <w:p w14:paraId="3FAEC9C1" w14:textId="403316F4" w:rsidR="00720AAB" w:rsidRPr="003B4C1E" w:rsidRDefault="00720AAB" w:rsidP="001D44C1">
      <w:pPr>
        <w:ind w:firstLine="1418"/>
        <w:jc w:val="both"/>
      </w:pPr>
      <w:r w:rsidRPr="003B4C1E">
        <w:t>GABINETE DO GOVERNADOR DO ESTADO DO MARANHÃO, EM SÃO LUÍS,</w:t>
      </w:r>
      <w:proofErr w:type="gramStart"/>
      <w:r w:rsidRPr="003B4C1E">
        <w:t xml:space="preserve">  </w:t>
      </w:r>
      <w:proofErr w:type="gramEnd"/>
      <w:r w:rsidR="008521B2">
        <w:t>02</w:t>
      </w:r>
      <w:r w:rsidRPr="003B4C1E">
        <w:t xml:space="preserve">  DE   </w:t>
      </w:r>
      <w:r w:rsidR="008521B2">
        <w:t xml:space="preserve">AGOSTO </w:t>
      </w:r>
      <w:r w:rsidRPr="003B4C1E">
        <w:t>DE 2022, 201º DA INDEPENDÊNCIA, 134º DA REPÚBLICA.</w:t>
      </w:r>
    </w:p>
    <w:p w14:paraId="2F7ECA6E" w14:textId="77777777" w:rsidR="00720AAB" w:rsidRPr="003B4C1E" w:rsidRDefault="00720AAB" w:rsidP="001D44C1">
      <w:pPr>
        <w:ind w:firstLine="1418"/>
        <w:jc w:val="both"/>
      </w:pPr>
    </w:p>
    <w:p w14:paraId="2E28A538" w14:textId="77777777" w:rsidR="00720AAB" w:rsidRPr="003B4C1E" w:rsidRDefault="00720AAB" w:rsidP="001D44C1">
      <w:pPr>
        <w:ind w:firstLine="1418"/>
        <w:jc w:val="both"/>
      </w:pPr>
    </w:p>
    <w:p w14:paraId="68572537" w14:textId="77777777" w:rsidR="00720AAB" w:rsidRPr="003B4C1E" w:rsidRDefault="00720AAB" w:rsidP="001D44C1">
      <w:pPr>
        <w:jc w:val="center"/>
      </w:pPr>
    </w:p>
    <w:p w14:paraId="723BA0F2" w14:textId="77777777" w:rsidR="00720AAB" w:rsidRPr="003B4C1E" w:rsidRDefault="00720AAB" w:rsidP="001D44C1">
      <w:pPr>
        <w:jc w:val="center"/>
      </w:pPr>
    </w:p>
    <w:p w14:paraId="749A4851" w14:textId="77777777" w:rsidR="00720AAB" w:rsidRPr="003B4C1E" w:rsidRDefault="00720AAB" w:rsidP="001D44C1">
      <w:pPr>
        <w:jc w:val="center"/>
      </w:pPr>
      <w:r w:rsidRPr="003B4C1E">
        <w:t>CARLOS BRANDÃO</w:t>
      </w:r>
    </w:p>
    <w:p w14:paraId="5DD5348C" w14:textId="77777777" w:rsidR="00720AAB" w:rsidRPr="003B4C1E" w:rsidRDefault="00720AAB" w:rsidP="001D44C1">
      <w:pPr>
        <w:jc w:val="center"/>
      </w:pPr>
      <w:r w:rsidRPr="003B4C1E">
        <w:t>Governador do Estado do Maranhão</w:t>
      </w:r>
    </w:p>
    <w:p w14:paraId="574DD911" w14:textId="77777777" w:rsidR="00720AAB" w:rsidRPr="003B4C1E" w:rsidRDefault="00720AAB" w:rsidP="001D44C1">
      <w:pPr>
        <w:ind w:left="5670"/>
        <w:jc w:val="both"/>
      </w:pPr>
    </w:p>
    <w:p w14:paraId="608D44D4" w14:textId="77777777" w:rsidR="004606CF" w:rsidRPr="003B4C1E" w:rsidRDefault="004606CF" w:rsidP="001D44C1"/>
    <w:sectPr w:rsidR="004606CF" w:rsidRPr="003B4C1E" w:rsidSect="00720AAB">
      <w:headerReference w:type="default" r:id="rId10"/>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F399A" w14:textId="77777777" w:rsidR="004E5AE2" w:rsidRDefault="004E5AE2" w:rsidP="00720AAB">
      <w:r>
        <w:separator/>
      </w:r>
    </w:p>
  </w:endnote>
  <w:endnote w:type="continuationSeparator" w:id="0">
    <w:p w14:paraId="678E28F4" w14:textId="77777777" w:rsidR="004E5AE2" w:rsidRDefault="004E5AE2" w:rsidP="0072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63BF1" w14:textId="77777777" w:rsidR="004E5AE2" w:rsidRDefault="004E5AE2" w:rsidP="00720AAB">
      <w:r>
        <w:separator/>
      </w:r>
    </w:p>
  </w:footnote>
  <w:footnote w:type="continuationSeparator" w:id="0">
    <w:p w14:paraId="48E2746D" w14:textId="77777777" w:rsidR="004E5AE2" w:rsidRDefault="004E5AE2" w:rsidP="00720AAB">
      <w:r>
        <w:continuationSeparator/>
      </w:r>
    </w:p>
  </w:footnote>
  <w:footnote w:id="1">
    <w:p w14:paraId="609C2164" w14:textId="77777777" w:rsidR="00372352" w:rsidRDefault="001D44C1" w:rsidP="00372352">
      <w:pPr>
        <w:pStyle w:val="Textodenotaderodap"/>
        <w:jc w:val="both"/>
      </w:pPr>
      <w:r>
        <w:rPr>
          <w:rStyle w:val="Refdenotaderodap"/>
        </w:rPr>
        <w:footnoteRef/>
      </w:r>
      <w:r>
        <w:t xml:space="preserve"> Art. 43 – São de iniciativa privativa do Governador do Estado as leis que disponham sobre:</w:t>
      </w:r>
    </w:p>
    <w:p w14:paraId="58D7B163" w14:textId="77777777" w:rsidR="00372352" w:rsidRDefault="00372352" w:rsidP="00372352">
      <w:pPr>
        <w:pStyle w:val="Textodenotaderodap"/>
        <w:jc w:val="both"/>
      </w:pPr>
    </w:p>
    <w:p w14:paraId="43522C29" w14:textId="77777777" w:rsidR="00372352" w:rsidRDefault="001D44C1" w:rsidP="00372352">
      <w:pPr>
        <w:pStyle w:val="Textodenotaderodap"/>
        <w:jc w:val="both"/>
      </w:pPr>
      <w:r>
        <w:t xml:space="preserve">I – fixação e alteração dos efetivos da Policia Militar e do Corpo de Bombeiros Militar; </w:t>
      </w:r>
    </w:p>
    <w:p w14:paraId="1E8CDB69" w14:textId="77777777" w:rsidR="00372352" w:rsidRDefault="00372352" w:rsidP="00372352">
      <w:pPr>
        <w:pStyle w:val="Textodenotaderodap"/>
        <w:jc w:val="both"/>
      </w:pPr>
    </w:p>
    <w:p w14:paraId="0BB2D184" w14:textId="77777777" w:rsidR="00372352" w:rsidRDefault="001D44C1" w:rsidP="00372352">
      <w:pPr>
        <w:pStyle w:val="Textodenotaderodap"/>
        <w:jc w:val="both"/>
      </w:pPr>
      <w:r>
        <w:t xml:space="preserve">II – criação de cargos, funções ou empregos públicos na administração direta e autárquica ou aumento de sua remuneração; </w:t>
      </w:r>
    </w:p>
    <w:p w14:paraId="6B15B32C" w14:textId="77777777" w:rsidR="00372352" w:rsidRDefault="00372352" w:rsidP="00372352">
      <w:pPr>
        <w:pStyle w:val="Textodenotaderodap"/>
        <w:jc w:val="both"/>
      </w:pPr>
    </w:p>
    <w:p w14:paraId="5E577DA6" w14:textId="661C69DA" w:rsidR="001D44C1" w:rsidRDefault="001D44C1" w:rsidP="00372352">
      <w:pPr>
        <w:pStyle w:val="Textodenotaderodap"/>
        <w:jc w:val="both"/>
      </w:pPr>
      <w:r>
        <w:t>III – organização administrativa e matéria orçamentária. (modificado pela Emenda à Constituição nº 056 de 17/12/2008 e nº 068 de 28/08/2013</w:t>
      </w:r>
    </w:p>
    <w:p w14:paraId="7FA52999" w14:textId="77777777" w:rsidR="00372352" w:rsidRDefault="00372352" w:rsidP="00372352">
      <w:pPr>
        <w:pStyle w:val="Textodenotaderodap"/>
        <w:jc w:val="both"/>
      </w:pPr>
    </w:p>
    <w:p w14:paraId="0AB46237" w14:textId="77777777" w:rsidR="00372352" w:rsidRDefault="001D44C1" w:rsidP="00372352">
      <w:pPr>
        <w:pStyle w:val="Textodenotaderodap"/>
        <w:jc w:val="both"/>
      </w:pPr>
      <w:r>
        <w:t xml:space="preserve">IV - servidores públicos do Estado, seu regime jurídico, provimento de cargos, estabilidade e aposentadoria de civis, reforma e transferência de militares para a inatividade; </w:t>
      </w:r>
    </w:p>
    <w:p w14:paraId="4238399F" w14:textId="77777777" w:rsidR="00372352" w:rsidRDefault="00372352" w:rsidP="00372352">
      <w:pPr>
        <w:pStyle w:val="Textodenotaderodap"/>
        <w:jc w:val="both"/>
      </w:pPr>
    </w:p>
    <w:p w14:paraId="6F16CE5C" w14:textId="77777777" w:rsidR="00372352" w:rsidRDefault="001D44C1" w:rsidP="00372352">
      <w:pPr>
        <w:pStyle w:val="Textodenotaderodap"/>
        <w:jc w:val="both"/>
      </w:pPr>
      <w:r>
        <w:t xml:space="preserve">V – criação, estruturação e atribuições das Secretárias de Estado ou órgãos equivalentes e outros órgãos da administração pública estadual. (acrescido pela Emenda à Constituição nº 023, de 18/12/1998). </w:t>
      </w:r>
    </w:p>
    <w:p w14:paraId="2A4CD87F" w14:textId="77777777" w:rsidR="00372352" w:rsidRDefault="00372352" w:rsidP="00372352">
      <w:pPr>
        <w:pStyle w:val="Textodenotaderodap"/>
        <w:jc w:val="both"/>
      </w:pPr>
    </w:p>
    <w:p w14:paraId="3468694A" w14:textId="58F78241" w:rsidR="001D44C1" w:rsidRDefault="001D44C1" w:rsidP="00372352">
      <w:pPr>
        <w:pStyle w:val="Textodenotaderodap"/>
        <w:jc w:val="both"/>
      </w:pPr>
      <w:r>
        <w:t>Parágrafo único- A iniciativa parlamentar sobre projetos envolvendo matéria tributária só será permitida a projetos dos quais não decorra renuncia de receita. (acrescido pela Emenda à Constituição nº 068, de 28/08/2013)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30B4C" w14:textId="77777777" w:rsidR="00720AAB" w:rsidRDefault="00720AAB" w:rsidP="00927216">
    <w:pPr>
      <w:pStyle w:val="Cabealho"/>
      <w:ind w:right="849"/>
      <w:jc w:val="center"/>
    </w:pPr>
    <w:r>
      <w:rPr>
        <w:noProof/>
      </w:rPr>
      <w:drawing>
        <wp:inline distT="0" distB="0" distL="0" distR="0" wp14:anchorId="34138AD4" wp14:editId="6CC1C862">
          <wp:extent cx="821055" cy="816610"/>
          <wp:effectExtent l="0" t="0" r="0" b="2540"/>
          <wp:docPr id="1" name="Imagem 1"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_do_Maranh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055" cy="816610"/>
                  </a:xfrm>
                  <a:prstGeom prst="rect">
                    <a:avLst/>
                  </a:prstGeom>
                  <a:noFill/>
                  <a:ln>
                    <a:noFill/>
                  </a:ln>
                </pic:spPr>
              </pic:pic>
            </a:graphicData>
          </a:graphic>
        </wp:inline>
      </w:drawing>
    </w:r>
  </w:p>
  <w:p w14:paraId="0395260D" w14:textId="77777777" w:rsidR="00720AAB" w:rsidRPr="00927216" w:rsidRDefault="00720AAB" w:rsidP="00927216">
    <w:pPr>
      <w:pStyle w:val="Cabealho"/>
      <w:ind w:right="849"/>
      <w:jc w:val="center"/>
      <w:rPr>
        <w:rFonts w:ascii="Arial" w:hAnsi="Arial" w:cs="Arial"/>
        <w:b/>
        <w:w w:val="95"/>
        <w:sz w:val="24"/>
        <w:szCs w:val="24"/>
      </w:rPr>
    </w:pPr>
    <w:r w:rsidRPr="00927216">
      <w:rPr>
        <w:rFonts w:ascii="Arial" w:hAnsi="Arial" w:cs="Arial"/>
        <w:b/>
        <w:w w:val="95"/>
        <w:sz w:val="24"/>
        <w:szCs w:val="24"/>
      </w:rPr>
      <w:t>ESTADO DO MARANHÃO</w:t>
    </w:r>
  </w:p>
  <w:p w14:paraId="0BE1601F" w14:textId="77777777" w:rsidR="00720AAB" w:rsidRPr="00927216" w:rsidRDefault="00720AAB" w:rsidP="00927216">
    <w:pPr>
      <w:pStyle w:val="Cabealho"/>
      <w:ind w:right="849"/>
      <w:jc w:val="center"/>
      <w:rPr>
        <w:rFonts w:ascii="Arial" w:hAnsi="Arial" w:cs="Arial"/>
        <w:b/>
        <w:w w:val="95"/>
        <w:sz w:val="24"/>
        <w:szCs w:val="24"/>
      </w:rPr>
    </w:pPr>
    <w:r w:rsidRPr="00927216">
      <w:rPr>
        <w:rFonts w:ascii="Arial" w:hAnsi="Arial" w:cs="Arial"/>
        <w:b/>
        <w:w w:val="95"/>
        <w:sz w:val="24"/>
        <w:szCs w:val="24"/>
      </w:rPr>
      <w:t>GABINETE DO GOVERNADOR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89538" w14:textId="77777777" w:rsidR="00745BE9" w:rsidRDefault="005B181D" w:rsidP="00053624">
    <w:pPr>
      <w:pStyle w:val="Cabealho"/>
      <w:ind w:right="849"/>
      <w:jc w:val="center"/>
    </w:pPr>
    <w:r>
      <w:rPr>
        <w:noProof/>
      </w:rPr>
      <w:drawing>
        <wp:inline distT="0" distB="0" distL="0" distR="0" wp14:anchorId="6131463B" wp14:editId="3A6039F3">
          <wp:extent cx="821055" cy="816610"/>
          <wp:effectExtent l="0" t="0" r="0" b="2540"/>
          <wp:docPr id="4" name="Imagem 4"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_do_Maranh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055" cy="816610"/>
                  </a:xfrm>
                  <a:prstGeom prst="rect">
                    <a:avLst/>
                  </a:prstGeom>
                  <a:noFill/>
                  <a:ln>
                    <a:noFill/>
                  </a:ln>
                </pic:spPr>
              </pic:pic>
            </a:graphicData>
          </a:graphic>
        </wp:inline>
      </w:drawing>
    </w:r>
  </w:p>
  <w:p w14:paraId="6A816241" w14:textId="77777777" w:rsidR="00745BE9" w:rsidRPr="00927216" w:rsidRDefault="005B181D" w:rsidP="00053624">
    <w:pPr>
      <w:pStyle w:val="Cabealho"/>
      <w:ind w:right="849"/>
      <w:jc w:val="center"/>
      <w:rPr>
        <w:rFonts w:ascii="Arial" w:hAnsi="Arial" w:cs="Arial"/>
        <w:b/>
        <w:w w:val="95"/>
        <w:sz w:val="24"/>
        <w:szCs w:val="24"/>
      </w:rPr>
    </w:pPr>
    <w:r w:rsidRPr="00927216">
      <w:rPr>
        <w:rFonts w:ascii="Arial" w:hAnsi="Arial" w:cs="Arial"/>
        <w:b/>
        <w:w w:val="95"/>
        <w:sz w:val="24"/>
        <w:szCs w:val="24"/>
      </w:rPr>
      <w:t>ESTADO DO MARANHÃO</w:t>
    </w:r>
  </w:p>
  <w:p w14:paraId="00A33A73" w14:textId="77777777" w:rsidR="00745BE9" w:rsidRDefault="005B181D" w:rsidP="00053624">
    <w:pPr>
      <w:pStyle w:val="Cabealho"/>
      <w:ind w:right="849"/>
      <w:jc w:val="center"/>
      <w:rPr>
        <w:rFonts w:ascii="Arial" w:hAnsi="Arial" w:cs="Arial"/>
        <w:b/>
        <w:w w:val="95"/>
        <w:sz w:val="24"/>
        <w:szCs w:val="24"/>
      </w:rPr>
    </w:pPr>
    <w:r w:rsidRPr="00927216">
      <w:rPr>
        <w:rFonts w:ascii="Arial" w:hAnsi="Arial" w:cs="Arial"/>
        <w:b/>
        <w:w w:val="95"/>
        <w:sz w:val="24"/>
        <w:szCs w:val="24"/>
      </w:rPr>
      <w:t>GABINETE DO GOVERNADOR</w:t>
    </w:r>
  </w:p>
  <w:p w14:paraId="1105F14C" w14:textId="77777777" w:rsidR="00720AAB" w:rsidRPr="00927216" w:rsidRDefault="00720AAB" w:rsidP="00053624">
    <w:pPr>
      <w:pStyle w:val="Cabealho"/>
      <w:ind w:right="849"/>
      <w:jc w:val="center"/>
      <w:rPr>
        <w:rFonts w:ascii="Arial" w:hAnsi="Arial" w:cs="Arial"/>
        <w:b/>
        <w:w w:val="95"/>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342EE"/>
    <w:multiLevelType w:val="hybridMultilevel"/>
    <w:tmpl w:val="C8DAF5A0"/>
    <w:lvl w:ilvl="0" w:tplc="53C65798">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9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AAB"/>
    <w:rsid w:val="000C3C02"/>
    <w:rsid w:val="001614F7"/>
    <w:rsid w:val="00181CD0"/>
    <w:rsid w:val="001D44C1"/>
    <w:rsid w:val="00372352"/>
    <w:rsid w:val="003B4C1E"/>
    <w:rsid w:val="004606CF"/>
    <w:rsid w:val="004E5AE2"/>
    <w:rsid w:val="0059649B"/>
    <w:rsid w:val="005B181D"/>
    <w:rsid w:val="00720AAB"/>
    <w:rsid w:val="007C60FF"/>
    <w:rsid w:val="008521B2"/>
    <w:rsid w:val="008803F2"/>
    <w:rsid w:val="00A85147"/>
    <w:rsid w:val="00AF0555"/>
    <w:rsid w:val="00B27BF4"/>
    <w:rsid w:val="00B567D2"/>
    <w:rsid w:val="00CE33FB"/>
    <w:rsid w:val="00DA4DFC"/>
    <w:rsid w:val="00E719F9"/>
    <w:rsid w:val="00F763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AA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20AAB"/>
    <w:pPr>
      <w:keepNext/>
      <w:jc w:val="both"/>
      <w:outlineLvl w:val="0"/>
    </w:pPr>
    <w:rPr>
      <w:rFonts w:ascii="Arial" w:hAnsi="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20AAB"/>
    <w:rPr>
      <w:rFonts w:ascii="Arial" w:eastAsia="Times New Roman" w:hAnsi="Arial" w:cs="Times New Roman"/>
      <w:b/>
      <w:sz w:val="24"/>
      <w:szCs w:val="20"/>
      <w:lang w:eastAsia="pt-BR"/>
    </w:rPr>
  </w:style>
  <w:style w:type="paragraph" w:styleId="Cabealho">
    <w:name w:val="header"/>
    <w:basedOn w:val="Normal"/>
    <w:link w:val="CabealhoChar"/>
    <w:uiPriority w:val="99"/>
    <w:rsid w:val="00720AAB"/>
    <w:pPr>
      <w:tabs>
        <w:tab w:val="center" w:pos="4419"/>
        <w:tab w:val="right" w:pos="8838"/>
      </w:tabs>
    </w:pPr>
    <w:rPr>
      <w:sz w:val="20"/>
      <w:szCs w:val="20"/>
    </w:rPr>
  </w:style>
  <w:style w:type="character" w:customStyle="1" w:styleId="CabealhoChar">
    <w:name w:val="Cabeçalho Char"/>
    <w:basedOn w:val="Fontepargpadro"/>
    <w:link w:val="Cabealho"/>
    <w:uiPriority w:val="99"/>
    <w:rsid w:val="00720AAB"/>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720AAB"/>
    <w:pPr>
      <w:ind w:right="567"/>
      <w:jc w:val="both"/>
    </w:pPr>
    <w:rPr>
      <w:rFonts w:ascii="Arial" w:hAnsi="Arial"/>
      <w:color w:val="000000"/>
      <w:szCs w:val="20"/>
    </w:rPr>
  </w:style>
  <w:style w:type="character" w:customStyle="1" w:styleId="Corpodetexto2Char">
    <w:name w:val="Corpo de texto 2 Char"/>
    <w:basedOn w:val="Fontepargpadro"/>
    <w:link w:val="Corpodetexto2"/>
    <w:rsid w:val="00720AAB"/>
    <w:rPr>
      <w:rFonts w:ascii="Arial" w:eastAsia="Times New Roman" w:hAnsi="Arial" w:cs="Times New Roman"/>
      <w:color w:val="000000"/>
      <w:sz w:val="24"/>
      <w:szCs w:val="20"/>
      <w:lang w:eastAsia="pt-BR"/>
    </w:rPr>
  </w:style>
  <w:style w:type="paragraph" w:styleId="NormalWeb">
    <w:name w:val="Normal (Web)"/>
    <w:basedOn w:val="Normal"/>
    <w:uiPriority w:val="99"/>
    <w:rsid w:val="00720AAB"/>
    <w:pPr>
      <w:spacing w:before="100" w:after="100"/>
    </w:pPr>
    <w:rPr>
      <w:rFonts w:ascii="Arial Unicode MS" w:eastAsia="Arial Unicode MS" w:hAnsi="Arial Unicode MS"/>
      <w:szCs w:val="20"/>
    </w:rPr>
  </w:style>
  <w:style w:type="paragraph" w:styleId="Textodenotaderodap">
    <w:name w:val="footnote text"/>
    <w:basedOn w:val="Normal"/>
    <w:link w:val="TextodenotaderodapChar"/>
    <w:uiPriority w:val="99"/>
    <w:unhideWhenUsed/>
    <w:rsid w:val="00720AAB"/>
    <w:rPr>
      <w:sz w:val="20"/>
      <w:szCs w:val="20"/>
    </w:rPr>
  </w:style>
  <w:style w:type="character" w:customStyle="1" w:styleId="TextodenotaderodapChar">
    <w:name w:val="Texto de nota de rodapé Char"/>
    <w:basedOn w:val="Fontepargpadro"/>
    <w:link w:val="Textodenotaderodap"/>
    <w:uiPriority w:val="99"/>
    <w:rsid w:val="00720AAB"/>
    <w:rPr>
      <w:rFonts w:ascii="Times New Roman" w:eastAsia="Times New Roman" w:hAnsi="Times New Roman" w:cs="Times New Roman"/>
      <w:sz w:val="20"/>
      <w:szCs w:val="20"/>
      <w:lang w:eastAsia="pt-BR"/>
    </w:rPr>
  </w:style>
  <w:style w:type="character" w:styleId="Refdenotaderodap">
    <w:name w:val="footnote reference"/>
    <w:uiPriority w:val="99"/>
    <w:unhideWhenUsed/>
    <w:rsid w:val="00720AAB"/>
    <w:rPr>
      <w:vertAlign w:val="superscript"/>
    </w:rPr>
  </w:style>
  <w:style w:type="paragraph" w:styleId="Rodap">
    <w:name w:val="footer"/>
    <w:basedOn w:val="Normal"/>
    <w:link w:val="RodapChar"/>
    <w:uiPriority w:val="99"/>
    <w:unhideWhenUsed/>
    <w:rsid w:val="00720AAB"/>
    <w:pPr>
      <w:tabs>
        <w:tab w:val="center" w:pos="4252"/>
        <w:tab w:val="right" w:pos="8504"/>
      </w:tabs>
    </w:pPr>
  </w:style>
  <w:style w:type="character" w:customStyle="1" w:styleId="RodapChar">
    <w:name w:val="Rodapé Char"/>
    <w:basedOn w:val="Fontepargpadro"/>
    <w:link w:val="Rodap"/>
    <w:uiPriority w:val="99"/>
    <w:rsid w:val="00720AAB"/>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A4DFC"/>
    <w:pPr>
      <w:ind w:left="720"/>
      <w:contextualSpacing/>
    </w:pPr>
    <w:rPr>
      <w:rFonts w:eastAsia="Calibri"/>
      <w:szCs w:val="22"/>
      <w:lang w:eastAsia="en-US"/>
    </w:rPr>
  </w:style>
  <w:style w:type="paragraph" w:styleId="Textodebalo">
    <w:name w:val="Balloon Text"/>
    <w:basedOn w:val="Normal"/>
    <w:link w:val="TextodebaloChar"/>
    <w:uiPriority w:val="99"/>
    <w:semiHidden/>
    <w:unhideWhenUsed/>
    <w:rsid w:val="008521B2"/>
    <w:rPr>
      <w:rFonts w:ascii="Tahoma" w:hAnsi="Tahoma" w:cs="Tahoma"/>
      <w:sz w:val="16"/>
      <w:szCs w:val="16"/>
    </w:rPr>
  </w:style>
  <w:style w:type="character" w:customStyle="1" w:styleId="TextodebaloChar">
    <w:name w:val="Texto de balão Char"/>
    <w:basedOn w:val="Fontepargpadro"/>
    <w:link w:val="Textodebalo"/>
    <w:uiPriority w:val="99"/>
    <w:semiHidden/>
    <w:rsid w:val="008521B2"/>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AA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20AAB"/>
    <w:pPr>
      <w:keepNext/>
      <w:jc w:val="both"/>
      <w:outlineLvl w:val="0"/>
    </w:pPr>
    <w:rPr>
      <w:rFonts w:ascii="Arial" w:hAnsi="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20AAB"/>
    <w:rPr>
      <w:rFonts w:ascii="Arial" w:eastAsia="Times New Roman" w:hAnsi="Arial" w:cs="Times New Roman"/>
      <w:b/>
      <w:sz w:val="24"/>
      <w:szCs w:val="20"/>
      <w:lang w:eastAsia="pt-BR"/>
    </w:rPr>
  </w:style>
  <w:style w:type="paragraph" w:styleId="Cabealho">
    <w:name w:val="header"/>
    <w:basedOn w:val="Normal"/>
    <w:link w:val="CabealhoChar"/>
    <w:uiPriority w:val="99"/>
    <w:rsid w:val="00720AAB"/>
    <w:pPr>
      <w:tabs>
        <w:tab w:val="center" w:pos="4419"/>
        <w:tab w:val="right" w:pos="8838"/>
      </w:tabs>
    </w:pPr>
    <w:rPr>
      <w:sz w:val="20"/>
      <w:szCs w:val="20"/>
    </w:rPr>
  </w:style>
  <w:style w:type="character" w:customStyle="1" w:styleId="CabealhoChar">
    <w:name w:val="Cabeçalho Char"/>
    <w:basedOn w:val="Fontepargpadro"/>
    <w:link w:val="Cabealho"/>
    <w:uiPriority w:val="99"/>
    <w:rsid w:val="00720AAB"/>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720AAB"/>
    <w:pPr>
      <w:ind w:right="567"/>
      <w:jc w:val="both"/>
    </w:pPr>
    <w:rPr>
      <w:rFonts w:ascii="Arial" w:hAnsi="Arial"/>
      <w:color w:val="000000"/>
      <w:szCs w:val="20"/>
    </w:rPr>
  </w:style>
  <w:style w:type="character" w:customStyle="1" w:styleId="Corpodetexto2Char">
    <w:name w:val="Corpo de texto 2 Char"/>
    <w:basedOn w:val="Fontepargpadro"/>
    <w:link w:val="Corpodetexto2"/>
    <w:rsid w:val="00720AAB"/>
    <w:rPr>
      <w:rFonts w:ascii="Arial" w:eastAsia="Times New Roman" w:hAnsi="Arial" w:cs="Times New Roman"/>
      <w:color w:val="000000"/>
      <w:sz w:val="24"/>
      <w:szCs w:val="20"/>
      <w:lang w:eastAsia="pt-BR"/>
    </w:rPr>
  </w:style>
  <w:style w:type="paragraph" w:styleId="NormalWeb">
    <w:name w:val="Normal (Web)"/>
    <w:basedOn w:val="Normal"/>
    <w:uiPriority w:val="99"/>
    <w:rsid w:val="00720AAB"/>
    <w:pPr>
      <w:spacing w:before="100" w:after="100"/>
    </w:pPr>
    <w:rPr>
      <w:rFonts w:ascii="Arial Unicode MS" w:eastAsia="Arial Unicode MS" w:hAnsi="Arial Unicode MS"/>
      <w:szCs w:val="20"/>
    </w:rPr>
  </w:style>
  <w:style w:type="paragraph" w:styleId="Textodenotaderodap">
    <w:name w:val="footnote text"/>
    <w:basedOn w:val="Normal"/>
    <w:link w:val="TextodenotaderodapChar"/>
    <w:uiPriority w:val="99"/>
    <w:unhideWhenUsed/>
    <w:rsid w:val="00720AAB"/>
    <w:rPr>
      <w:sz w:val="20"/>
      <w:szCs w:val="20"/>
    </w:rPr>
  </w:style>
  <w:style w:type="character" w:customStyle="1" w:styleId="TextodenotaderodapChar">
    <w:name w:val="Texto de nota de rodapé Char"/>
    <w:basedOn w:val="Fontepargpadro"/>
    <w:link w:val="Textodenotaderodap"/>
    <w:uiPriority w:val="99"/>
    <w:rsid w:val="00720AAB"/>
    <w:rPr>
      <w:rFonts w:ascii="Times New Roman" w:eastAsia="Times New Roman" w:hAnsi="Times New Roman" w:cs="Times New Roman"/>
      <w:sz w:val="20"/>
      <w:szCs w:val="20"/>
      <w:lang w:eastAsia="pt-BR"/>
    </w:rPr>
  </w:style>
  <w:style w:type="character" w:styleId="Refdenotaderodap">
    <w:name w:val="footnote reference"/>
    <w:uiPriority w:val="99"/>
    <w:unhideWhenUsed/>
    <w:rsid w:val="00720AAB"/>
    <w:rPr>
      <w:vertAlign w:val="superscript"/>
    </w:rPr>
  </w:style>
  <w:style w:type="paragraph" w:styleId="Rodap">
    <w:name w:val="footer"/>
    <w:basedOn w:val="Normal"/>
    <w:link w:val="RodapChar"/>
    <w:uiPriority w:val="99"/>
    <w:unhideWhenUsed/>
    <w:rsid w:val="00720AAB"/>
    <w:pPr>
      <w:tabs>
        <w:tab w:val="center" w:pos="4252"/>
        <w:tab w:val="right" w:pos="8504"/>
      </w:tabs>
    </w:pPr>
  </w:style>
  <w:style w:type="character" w:customStyle="1" w:styleId="RodapChar">
    <w:name w:val="Rodapé Char"/>
    <w:basedOn w:val="Fontepargpadro"/>
    <w:link w:val="Rodap"/>
    <w:uiPriority w:val="99"/>
    <w:rsid w:val="00720AAB"/>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A4DFC"/>
    <w:pPr>
      <w:ind w:left="720"/>
      <w:contextualSpacing/>
    </w:pPr>
    <w:rPr>
      <w:rFonts w:eastAsia="Calibri"/>
      <w:szCs w:val="22"/>
      <w:lang w:eastAsia="en-US"/>
    </w:rPr>
  </w:style>
  <w:style w:type="paragraph" w:styleId="Textodebalo">
    <w:name w:val="Balloon Text"/>
    <w:basedOn w:val="Normal"/>
    <w:link w:val="TextodebaloChar"/>
    <w:uiPriority w:val="99"/>
    <w:semiHidden/>
    <w:unhideWhenUsed/>
    <w:rsid w:val="008521B2"/>
    <w:rPr>
      <w:rFonts w:ascii="Tahoma" w:hAnsi="Tahoma" w:cs="Tahoma"/>
      <w:sz w:val="16"/>
      <w:szCs w:val="16"/>
    </w:rPr>
  </w:style>
  <w:style w:type="character" w:customStyle="1" w:styleId="TextodebaloChar">
    <w:name w:val="Texto de balão Char"/>
    <w:basedOn w:val="Fontepargpadro"/>
    <w:link w:val="Textodebalo"/>
    <w:uiPriority w:val="99"/>
    <w:semiHidden/>
    <w:rsid w:val="008521B2"/>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C8205-ECF8-4EF9-8C10-A185C8C2C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901</Words>
  <Characters>4866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Cristiane Ribeiro Pinheiro</dc:creator>
  <cp:lastModifiedBy>Ana Carolina Gomes</cp:lastModifiedBy>
  <cp:revision>4</cp:revision>
  <cp:lastPrinted>2022-08-01T14:08:00Z</cp:lastPrinted>
  <dcterms:created xsi:type="dcterms:W3CDTF">2022-08-02T20:51:00Z</dcterms:created>
  <dcterms:modified xsi:type="dcterms:W3CDTF">2022-08-02T20:51:00Z</dcterms:modified>
</cp:coreProperties>
</file>