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PROJETO DE RESOLUÇÃO LEGISLATIVA Nº       DE 2024.</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5245" w:firstLine="0"/>
        <w:jc w:val="right"/>
        <w:rPr/>
      </w:pPr>
      <w:r w:rsidDel="00000000" w:rsidR="00000000" w:rsidRPr="00000000">
        <w:rPr>
          <w:i w:val="1"/>
          <w:rtl w:val="0"/>
        </w:rPr>
        <w:t xml:space="preserve">Concede o Título de Cidadão Maranhense</w:t>
      </w:r>
      <w:r w:rsidDel="00000000" w:rsidR="00000000" w:rsidRPr="00000000">
        <w:rPr>
          <w:rtl w:val="0"/>
        </w:rPr>
      </w:r>
    </w:p>
    <w:p w:rsidR="00000000" w:rsidDel="00000000" w:rsidP="00000000" w:rsidRDefault="00000000" w:rsidRPr="00000000" w14:paraId="00000007">
      <w:pPr>
        <w:ind w:left="5245" w:firstLine="0"/>
        <w:jc w:val="right"/>
        <w:rPr>
          <w:i w:val="1"/>
        </w:rPr>
      </w:pPr>
      <w:r w:rsidDel="00000000" w:rsidR="00000000" w:rsidRPr="00000000">
        <w:rPr>
          <w:i w:val="1"/>
          <w:rtl w:val="0"/>
        </w:rPr>
        <w:t xml:space="preserve">a senhora Catharina Nunes Bacelar.  </w:t>
      </w:r>
    </w:p>
    <w:p w:rsidR="00000000" w:rsidDel="00000000" w:rsidP="00000000" w:rsidRDefault="00000000" w:rsidRPr="00000000" w14:paraId="00000008">
      <w:pPr>
        <w:ind w:left="3540" w:firstLine="708.0000000000001"/>
        <w:jc w:val="both"/>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9">
      <w:pPr>
        <w:ind w:left="3540" w:firstLine="708.0000000000001"/>
        <w:jc w:val="both"/>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rtl w:val="0"/>
        </w:rPr>
        <w:t xml:space="preserve">Art.1º</w:t>
      </w:r>
      <w:r w:rsidDel="00000000" w:rsidR="00000000" w:rsidRPr="00000000">
        <w:rPr>
          <w:rtl w:val="0"/>
        </w:rPr>
        <w:t xml:space="preserve"> - Fica concedido o Título de Cidadão Maranhense à Senhora </w:t>
      </w:r>
      <w:r w:rsidDel="00000000" w:rsidR="00000000" w:rsidRPr="00000000">
        <w:rPr>
          <w:b w:val="1"/>
          <w:rtl w:val="0"/>
        </w:rPr>
        <w:t xml:space="preserve">Catharina Nunes Bacelar</w:t>
      </w:r>
      <w:r w:rsidDel="00000000" w:rsidR="00000000" w:rsidRPr="00000000">
        <w:rPr>
          <w:rtl w:val="0"/>
        </w:rPr>
        <w:t xml:space="preserve">, natural de Salvador no Estado da Bahia.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rtl w:val="0"/>
        </w:rPr>
        <w:t xml:space="preserve">Art. 2º</w:t>
      </w:r>
      <w:r w:rsidDel="00000000" w:rsidR="00000000" w:rsidRPr="00000000">
        <w:rPr>
          <w:rtl w:val="0"/>
        </w:rPr>
        <w:t xml:space="preserve"> - Esta Resolução Legislativa entra em vigor na data de sua publicação.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b w:val="1"/>
          <w:rtl w:val="0"/>
        </w:rPr>
        <w:t xml:space="preserve">Art. 3º</w:t>
      </w:r>
      <w:r w:rsidDel="00000000" w:rsidR="00000000" w:rsidRPr="00000000">
        <w:rPr>
          <w:rtl w:val="0"/>
        </w:rPr>
        <w:t xml:space="preserve"> - Revogam-se as disposições em contrário.</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ind w:left="3540" w:firstLine="0"/>
        <w:jc w:val="center"/>
        <w:rPr/>
      </w:pPr>
      <w:r w:rsidDel="00000000" w:rsidR="00000000" w:rsidRPr="00000000">
        <w:rPr>
          <w:rtl w:val="0"/>
        </w:rPr>
      </w:r>
    </w:p>
    <w:p w:rsidR="00000000" w:rsidDel="00000000" w:rsidP="00000000" w:rsidRDefault="00000000" w:rsidRPr="00000000" w14:paraId="00000014">
      <w:pPr>
        <w:ind w:firstLine="3"/>
        <w:jc w:val="center"/>
        <w:rPr/>
      </w:pPr>
      <w:r w:rsidDel="00000000" w:rsidR="00000000" w:rsidRPr="00000000">
        <w:rPr>
          <w:rtl w:val="0"/>
        </w:rPr>
        <w:t xml:space="preserve">SALA DAS SESSÕES DA ASSEMBLÉIA LEGISLATIVA DO ESTADO DO MARANHÃO, </w:t>
      </w:r>
    </w:p>
    <w:p w:rsidR="00000000" w:rsidDel="00000000" w:rsidP="00000000" w:rsidRDefault="00000000" w:rsidRPr="00000000" w14:paraId="00000015">
      <w:pPr>
        <w:ind w:firstLine="3"/>
        <w:jc w:val="center"/>
        <w:rPr/>
      </w:pPr>
      <w:r w:rsidDel="00000000" w:rsidR="00000000" w:rsidRPr="00000000">
        <w:rPr>
          <w:rtl w:val="0"/>
        </w:rPr>
        <w:t xml:space="preserve">Plenário “</w:t>
      </w:r>
      <w:r w:rsidDel="00000000" w:rsidR="00000000" w:rsidRPr="00000000">
        <w:rPr>
          <w:i w:val="1"/>
          <w:rtl w:val="0"/>
        </w:rPr>
        <w:t xml:space="preserve">Deputado</w:t>
      </w:r>
      <w:r w:rsidDel="00000000" w:rsidR="00000000" w:rsidRPr="00000000">
        <w:rPr>
          <w:rtl w:val="0"/>
        </w:rPr>
        <w:t xml:space="preserve"> </w:t>
      </w:r>
      <w:r w:rsidDel="00000000" w:rsidR="00000000" w:rsidRPr="00000000">
        <w:rPr>
          <w:i w:val="1"/>
          <w:rtl w:val="0"/>
        </w:rPr>
        <w:t xml:space="preserve">Nagib Haickel</w:t>
      </w:r>
      <w:r w:rsidDel="00000000" w:rsidR="00000000" w:rsidRPr="00000000">
        <w:rPr>
          <w:rtl w:val="0"/>
        </w:rPr>
        <w:t xml:space="preserve">”, Palácio </w:t>
      </w:r>
      <w:r w:rsidDel="00000000" w:rsidR="00000000" w:rsidRPr="00000000">
        <w:rPr>
          <w:i w:val="1"/>
          <w:rtl w:val="0"/>
        </w:rPr>
        <w:t xml:space="preserve">“Manoel Beckman</w:t>
      </w:r>
      <w:r w:rsidDel="00000000" w:rsidR="00000000" w:rsidRPr="00000000">
        <w:rPr>
          <w:rtl w:val="0"/>
        </w:rPr>
        <w:t xml:space="preserve">”, 30 de janeiro de 2024.</w:t>
      </w:r>
    </w:p>
    <w:p w:rsidR="00000000" w:rsidDel="00000000" w:rsidP="00000000" w:rsidRDefault="00000000" w:rsidRPr="00000000" w14:paraId="00000016">
      <w:pPr>
        <w:ind w:firstLine="3"/>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b w:val="1"/>
          <w:rtl w:val="0"/>
        </w:rPr>
        <w:t xml:space="preserve">ROBERTO COSTA</w:t>
      </w: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DEPUTADO ESTADUAL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center"/>
        <w:rPr>
          <w:b w:val="1"/>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b w:val="1"/>
          <w:rtl w:val="0"/>
        </w:rPr>
        <w:t xml:space="preserve">JUSTIFICATIVA</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spacing w:after="240" w:before="240" w:lineRule="auto"/>
        <w:ind w:firstLine="720"/>
        <w:jc w:val="both"/>
        <w:rPr/>
      </w:pPr>
      <w:r w:rsidDel="00000000" w:rsidR="00000000" w:rsidRPr="00000000">
        <w:rPr>
          <w:rtl w:val="0"/>
        </w:rPr>
        <w:t xml:space="preserve">Ao longo da sua História e da sua carreira, a Senhora Catharina Nunes Bacelar tem percorrido uma trajetória de brilhantismo na vida privada e na vida pública em prol da defesa dos direitos da mulher maranhense.</w:t>
      </w:r>
    </w:p>
    <w:p w:rsidR="00000000" w:rsidDel="00000000" w:rsidP="00000000" w:rsidRDefault="00000000" w:rsidRPr="00000000" w14:paraId="00000031">
      <w:pPr>
        <w:spacing w:after="240" w:before="240" w:lineRule="auto"/>
        <w:ind w:firstLine="720"/>
        <w:jc w:val="both"/>
        <w:rPr/>
      </w:pPr>
      <w:r w:rsidDel="00000000" w:rsidR="00000000" w:rsidRPr="00000000">
        <w:rPr>
          <w:rtl w:val="0"/>
        </w:rPr>
        <w:t xml:space="preserve">No ano de 1973, aos 20 anos de idade, iniciou sua carreira profissional, trabalhando para a IBM do Brasil e depois para a DOW Química, ambas multinacionais, na área de Tecnologia da Informação. Já atuou na mesma área, também, para o Banco Econômico. </w:t>
      </w:r>
    </w:p>
    <w:p w:rsidR="00000000" w:rsidDel="00000000" w:rsidP="00000000" w:rsidRDefault="00000000" w:rsidRPr="00000000" w14:paraId="00000032">
      <w:pPr>
        <w:spacing w:after="240" w:before="240" w:lineRule="auto"/>
        <w:ind w:firstLine="720"/>
        <w:jc w:val="both"/>
        <w:rPr/>
      </w:pPr>
      <w:r w:rsidDel="00000000" w:rsidR="00000000" w:rsidRPr="00000000">
        <w:rPr>
          <w:rtl w:val="0"/>
        </w:rPr>
        <w:t xml:space="preserve">Mora há quase quatro décadas no Estado do Maranhão, iniciando sua carreira, no Estado, junto a CEMAR, na função de Superintendente de Informática, por aproximadamente 10 anos.</w:t>
      </w:r>
    </w:p>
    <w:p w:rsidR="00000000" w:rsidDel="00000000" w:rsidP="00000000" w:rsidRDefault="00000000" w:rsidRPr="00000000" w14:paraId="00000033">
      <w:pPr>
        <w:spacing w:after="240" w:before="240" w:lineRule="auto"/>
        <w:ind w:firstLine="720"/>
        <w:jc w:val="both"/>
        <w:rPr/>
      </w:pPr>
      <w:r w:rsidDel="00000000" w:rsidR="00000000" w:rsidRPr="00000000">
        <w:rPr>
          <w:rtl w:val="0"/>
        </w:rPr>
        <w:t xml:space="preserve">A partir de 1992, resolveu abrir seu próprio negócio e fundou CSA Consultoria e Sistemas Abertos Ltda, uma empresa de pequeno porte, que atua há mais de 22 anos no mercado maranhense e da qual se afastou, em maio de 2009, para assumir a pasta da Secretaria de Estado da Mulher, atendendo ao convite da Governadora Roseana Sarney. </w:t>
      </w:r>
    </w:p>
    <w:p w:rsidR="00000000" w:rsidDel="00000000" w:rsidP="00000000" w:rsidRDefault="00000000" w:rsidRPr="00000000" w14:paraId="00000034">
      <w:pPr>
        <w:spacing w:after="240" w:before="240" w:lineRule="auto"/>
        <w:ind w:firstLine="720"/>
        <w:jc w:val="both"/>
        <w:rPr/>
      </w:pPr>
      <w:r w:rsidDel="00000000" w:rsidR="00000000" w:rsidRPr="00000000">
        <w:rPr>
          <w:rtl w:val="0"/>
        </w:rPr>
        <w:t xml:space="preserve">O forte sentimento de responsabilidade social empresarial transformou um dos projetos sociais da empresa em uma organização não governamental, batizada de Instituto Coração Abrigo e presidida por Catharina. A ONG se manteve inativa durante todo o período em que esteve à frente da Secretaria de Estado da Mulher. </w:t>
      </w:r>
    </w:p>
    <w:p w:rsidR="00000000" w:rsidDel="00000000" w:rsidP="00000000" w:rsidRDefault="00000000" w:rsidRPr="00000000" w14:paraId="00000035">
      <w:pPr>
        <w:spacing w:after="240" w:before="240" w:lineRule="auto"/>
        <w:ind w:firstLine="720"/>
        <w:jc w:val="both"/>
        <w:rPr/>
      </w:pPr>
      <w:r w:rsidDel="00000000" w:rsidR="00000000" w:rsidRPr="00000000">
        <w:rPr>
          <w:rtl w:val="0"/>
        </w:rPr>
        <w:t xml:space="preserve">Na gestão da Secretaria de Estado da Mulher, buscou aplicar as ferramentas de gestão aplicadas na iniciativa privada, o que veio a se constituir em importante diferencial competitivo da Secretaria. Em 2011, a convite da Secretaria de Políticas para as Mulheres da Presidência da República, atuou na Conferência Nacional de Políticas para as Mulheres, como palestrante convidada, oportunidade em que apresentou seu modelo de gestão. No mesmo ano, já havia proferido palestra sobre as boas práticas do Maranhão, na Conferência Estadual de Políticas para as Mulheres do Mato Grosso.</w:t>
      </w:r>
    </w:p>
    <w:p w:rsidR="00000000" w:rsidDel="00000000" w:rsidP="00000000" w:rsidRDefault="00000000" w:rsidRPr="00000000" w14:paraId="00000036">
      <w:pPr>
        <w:spacing w:after="240" w:before="240" w:lineRule="auto"/>
        <w:ind w:firstLine="720"/>
        <w:jc w:val="both"/>
        <w:rPr/>
      </w:pPr>
      <w:r w:rsidDel="00000000" w:rsidR="00000000" w:rsidRPr="00000000">
        <w:rPr>
          <w:rtl w:val="0"/>
        </w:rPr>
        <w:t xml:space="preserve">Na condição de Secretária de Estado da Mulher, alcançou 175 municípios maranhenses com ações e/ou itinerância, conhecendo mais de perto as realidades locais e estimulando a criação de novos Organismos de Políticas para as Mulheres (OPM). Durante a sua gestão, contabilizou um aumento de mais de 1000% no número de organismos, elevando o Maranhão a uma posição de destaque no cenário nacional das políticas públicas para as mulheres. </w:t>
      </w:r>
    </w:p>
    <w:p w:rsidR="00000000" w:rsidDel="00000000" w:rsidP="00000000" w:rsidRDefault="00000000" w:rsidRPr="00000000" w14:paraId="00000037">
      <w:pPr>
        <w:spacing w:after="240" w:before="240" w:lineRule="auto"/>
        <w:ind w:firstLine="720"/>
        <w:jc w:val="both"/>
        <w:rPr/>
      </w:pPr>
      <w:r w:rsidDel="00000000" w:rsidR="00000000" w:rsidRPr="00000000">
        <w:rPr>
          <w:rtl w:val="0"/>
        </w:rPr>
        <w:t xml:space="preserve">Na expectativa de não permitir retrocessos na política pública para as mulheres do Maranhão, conquistou diversos marcos legais, dentre os quais destacam-se : Lei n</w:t>
      </w:r>
      <w:r w:rsidDel="00000000" w:rsidR="00000000" w:rsidRPr="00000000">
        <w:rPr>
          <w:vertAlign w:val="superscript"/>
          <w:rtl w:val="0"/>
        </w:rPr>
        <w:t xml:space="preserve">o</w:t>
      </w:r>
      <w:r w:rsidDel="00000000" w:rsidR="00000000" w:rsidRPr="00000000">
        <w:rPr>
          <w:rtl w:val="0"/>
        </w:rPr>
        <w:t xml:space="preserve"> 9.516 de 06/12/201, a qual institui o pagamento de diárias para conselheiros/as membros de conselhos estaduais, da sociedade civil; o Decreto n</w:t>
      </w:r>
      <w:r w:rsidDel="00000000" w:rsidR="00000000" w:rsidRPr="00000000">
        <w:rPr>
          <w:vertAlign w:val="superscript"/>
          <w:rtl w:val="0"/>
        </w:rPr>
        <w:t xml:space="preserve">o</w:t>
      </w:r>
      <w:r w:rsidDel="00000000" w:rsidR="00000000" w:rsidRPr="00000000">
        <w:rPr>
          <w:rtl w:val="0"/>
        </w:rPr>
        <w:t xml:space="preserve"> 28.319 de 22/06/2012, que criou a Câmara Técnica Estadual de Gestão e Monitoramento das Ações do Pacto Nacional pelo Enfrentamento à Violência contra as Mulheres para o período de 2013-2015; Decreto n</w:t>
      </w:r>
      <w:r w:rsidDel="00000000" w:rsidR="00000000" w:rsidRPr="00000000">
        <w:rPr>
          <w:vertAlign w:val="superscript"/>
          <w:rtl w:val="0"/>
        </w:rPr>
        <w:t xml:space="preserve">o</w:t>
      </w:r>
      <w:r w:rsidDel="00000000" w:rsidR="00000000" w:rsidRPr="00000000">
        <w:rPr>
          <w:rtl w:val="0"/>
        </w:rPr>
        <w:t xml:space="preserve"> 29.764 de 17/01/2014, o qual aprovou o Plano Estadual de Políticas para as Mulheres 2013-2015 e criou o Comitê de Articulação e Monitoramento do Plano Estadual de Políticas para as Mulheres; assim como a Lei n</w:t>
      </w:r>
      <w:r w:rsidDel="00000000" w:rsidR="00000000" w:rsidRPr="00000000">
        <w:rPr>
          <w:vertAlign w:val="superscript"/>
          <w:rtl w:val="0"/>
        </w:rPr>
        <w:t xml:space="preserve">o</w:t>
      </w:r>
      <w:r w:rsidDel="00000000" w:rsidR="00000000" w:rsidRPr="00000000">
        <w:rPr>
          <w:rtl w:val="0"/>
        </w:rPr>
        <w:t xml:space="preserve"> 9.992 de 13/02/2014, que criou a Ouvidoria da Mulher e o Programa Viva Mulher.</w:t>
      </w:r>
    </w:p>
    <w:p w:rsidR="00000000" w:rsidDel="00000000" w:rsidP="00000000" w:rsidRDefault="00000000" w:rsidRPr="00000000" w14:paraId="00000038">
      <w:pPr>
        <w:spacing w:after="240" w:before="240" w:lineRule="auto"/>
        <w:ind w:firstLine="720"/>
        <w:jc w:val="both"/>
        <w:rPr/>
      </w:pPr>
      <w:r w:rsidDel="00000000" w:rsidR="00000000" w:rsidRPr="00000000">
        <w:rPr>
          <w:rtl w:val="0"/>
        </w:rPr>
        <w:t xml:space="preserve">A homenageada já foi condecorada com inúmeras premiações, dentre elas: Prêmio Mulher Notável concedido pela ACM (2013); Comendadora da Ordem dos Timbiras do IV Centenário de São Luís (2012); Certificação Melhor Líder do Maranhão (categoria prata) do programa GesPública (2012); Certificação Melhor Instituição do Maranhão (categoria prata) do programa GesPública (2012); Troféu Mulheres de Destaque concedido pelo Partido PRB / PRB Mulher (2012); Medalha da Ordem do Mérito da Defensoria Pública do Estado do Maranhão (2011); Prêmio Mulher de Destaque na Administração - Categoria: Administradora de Destaque (2011);  Medalha Timbira do Mérito em Direitos Humanos - Categoria: Igualdade de Gênero (2010);  Prêmio Gayvota em Direitos Humanos (2010); Prêmio de Desenvolvimento Sustentável de São Luís (2007); Prêmio Sesi de Qualidade no Trabalho - Maranhão (2006); Prêmio Sesi de Qualidade no Trabalho - Região Nordeste (2006); Prêmio Sebrae Mulher de Negócios - Maranhão (2006); Prêmio Sebrae Mulher de Negócios - Região Nordeste (2006); Prêmio Sebrae de Qualidade e Competitividade - Categoria Serviços (2006); Prêmio Cata-ventos de Liberdade (2005); Prêmio Sebrae de Qualidade e Competitividade - Menção Honrosa Responsabilidade Social (2005);  Prêmio Sebrae de Qualidade e Competitividade - Categoria Serviços (2005); Prêmio Sebrae de Qualidade e Competitividade - Categoria Serviços (2004).</w:t>
      </w:r>
    </w:p>
    <w:p w:rsidR="00000000" w:rsidDel="00000000" w:rsidP="00000000" w:rsidRDefault="00000000" w:rsidRPr="00000000" w14:paraId="00000039">
      <w:pPr>
        <w:spacing w:after="240" w:before="240" w:lineRule="auto"/>
        <w:ind w:firstLine="720"/>
        <w:jc w:val="both"/>
        <w:rPr/>
      </w:pPr>
      <w:r w:rsidDel="00000000" w:rsidR="00000000" w:rsidRPr="00000000">
        <w:rPr>
          <w:rtl w:val="0"/>
        </w:rPr>
        <w:t xml:space="preserve">Catharina Nunes Bacelar é baiana, mas está há mais de 40 anos no Maranhão. É casada com o médico maranhense Luís Henrique Camarão Bacelar. Todos os seus filhos são maranhenses, os também médicos: Julia, Mathias e Gabriel.</w:t>
      </w:r>
    </w:p>
    <w:p w:rsidR="00000000" w:rsidDel="00000000" w:rsidP="00000000" w:rsidRDefault="00000000" w:rsidRPr="00000000" w14:paraId="0000003A">
      <w:pPr>
        <w:spacing w:after="240" w:before="240" w:lineRule="auto"/>
        <w:ind w:firstLine="720"/>
        <w:jc w:val="both"/>
        <w:rPr/>
      </w:pPr>
      <w:r w:rsidDel="00000000" w:rsidR="00000000" w:rsidRPr="00000000">
        <w:rPr>
          <w:rtl w:val="0"/>
        </w:rPr>
        <w:t xml:space="preserve">Diante disso, por toda sua contribuição, de modo sem igual, para o Estado do Maranhão, que a Sra. Catharina Nunes Bacelar faz jus a esta seleta homenagem desta Casa Legislativa.</w:t>
      </w:r>
    </w:p>
    <w:p w:rsidR="00000000" w:rsidDel="00000000" w:rsidP="00000000" w:rsidRDefault="00000000" w:rsidRPr="00000000" w14:paraId="0000003B">
      <w:pPr>
        <w:ind w:firstLine="1418"/>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Plenário “</w:t>
      </w:r>
      <w:r w:rsidDel="00000000" w:rsidR="00000000" w:rsidRPr="00000000">
        <w:rPr>
          <w:i w:val="1"/>
          <w:rtl w:val="0"/>
        </w:rPr>
        <w:t xml:space="preserve">Nagib Haickel</w:t>
      </w:r>
      <w:r w:rsidDel="00000000" w:rsidR="00000000" w:rsidRPr="00000000">
        <w:rPr>
          <w:rtl w:val="0"/>
        </w:rPr>
        <w:t xml:space="preserve">”, Palácio </w:t>
      </w:r>
      <w:r w:rsidDel="00000000" w:rsidR="00000000" w:rsidRPr="00000000">
        <w:rPr>
          <w:i w:val="1"/>
          <w:rtl w:val="0"/>
        </w:rPr>
        <w:t xml:space="preserve">“Manoel Bequiman”</w:t>
      </w:r>
      <w:r w:rsidDel="00000000" w:rsidR="00000000" w:rsidRPr="00000000">
        <w:rPr>
          <w:rtl w:val="0"/>
        </w:rPr>
        <w:t xml:space="preserve">. São Luís, 30 de janeiro de 2024.</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b w:val="1"/>
          <w:rtl w:val="0"/>
        </w:rPr>
        <w:t xml:space="preserve">ROBERTO COSTA</w:t>
      </w: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t xml:space="preserve">DEPUTADO ESTADUAL</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hd w:fill="ffffff" w:val="clear"/>
        <w:rPr>
          <w:color w:val="212121"/>
          <w:sz w:val="23"/>
          <w:szCs w:val="23"/>
        </w:rPr>
      </w:pPr>
      <w:r w:rsidDel="00000000" w:rsidR="00000000" w:rsidRPr="00000000">
        <w:rPr>
          <w:rtl w:val="0"/>
        </w:rPr>
      </w:r>
    </w:p>
    <w:p w:rsidR="00000000" w:rsidDel="00000000" w:rsidP="00000000" w:rsidRDefault="00000000" w:rsidRPr="00000000" w14:paraId="00000045">
      <w:pPr>
        <w:shd w:fill="ffffff" w:val="clear"/>
        <w:rPr>
          <w:color w:val="212121"/>
          <w:sz w:val="23"/>
          <w:szCs w:val="23"/>
        </w:rPr>
      </w:pPr>
      <w:r w:rsidDel="00000000" w:rsidR="00000000" w:rsidRPr="00000000">
        <w:rPr>
          <w:rtl w:val="0"/>
        </w:rPr>
      </w:r>
    </w:p>
    <w:sectPr>
      <w:headerReference r:id="rId6" w:type="default"/>
      <w:pgSz w:h="16838" w:w="11906" w:orient="portrait"/>
      <w:pgMar w:bottom="1417" w:top="2835" w:left="1701" w:right="84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center"/>
      <w:rPr>
        <w:rFonts w:ascii="Arial" w:cs="Arial" w:eastAsia="Arial" w:hAnsi="Arial"/>
      </w:rPr>
    </w:pPr>
    <w:r w:rsidDel="00000000" w:rsidR="00000000" w:rsidRPr="00000000">
      <w:rPr>
        <w:rFonts w:ascii="Arial" w:cs="Arial" w:eastAsia="Arial" w:hAnsi="Arial"/>
        <w:b w:val="1"/>
      </w:rPr>
      <w:drawing>
        <wp:inline distB="0" distT="0" distL="114300" distR="114300">
          <wp:extent cx="621030" cy="543560"/>
          <wp:effectExtent b="0" l="0" r="0" t="0"/>
          <wp:docPr descr="Timbre do Estado.jpg" id="1" name="image1.jpg"/>
          <a:graphic>
            <a:graphicData uri="http://schemas.openxmlformats.org/drawingml/2006/picture">
              <pic:pic>
                <pic:nvPicPr>
                  <pic:cNvPr descr="Timbre do Estado.jpg" id="0" name="image1.jpg"/>
                  <pic:cNvPicPr preferRelativeResize="0"/>
                </pic:nvPicPr>
                <pic:blipFill>
                  <a:blip r:embed="rId1"/>
                  <a:srcRect b="0" l="0" r="0" t="0"/>
                  <a:stretch>
                    <a:fillRect/>
                  </a:stretch>
                </pic:blipFill>
                <pic:spPr>
                  <a:xfrm>
                    <a:off x="0" y="0"/>
                    <a:ext cx="621030" cy="54356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ESTADO DO MARANHÃO</w:t>
    </w:r>
    <w:r w:rsidDel="00000000" w:rsidR="00000000" w:rsidRPr="00000000">
      <w:rPr>
        <w:rtl w:val="0"/>
      </w:rPr>
    </w:r>
  </w:p>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ASSEMBLÉIA LEGISLATIVA</w:t>
    </w:r>
    <w:r w:rsidDel="00000000" w:rsidR="00000000" w:rsidRPr="00000000">
      <w:rPr>
        <w:rtl w:val="0"/>
      </w:rPr>
    </w:r>
  </w:p>
  <w:p w:rsidR="00000000" w:rsidDel="00000000" w:rsidP="00000000" w:rsidRDefault="00000000" w:rsidRPr="00000000" w14:paraId="00000049">
    <w:pPr>
      <w:jc w:val="center"/>
      <w:rPr>
        <w:rFonts w:ascii="Arial" w:cs="Arial" w:eastAsia="Arial" w:hAnsi="Arial"/>
        <w:sz w:val="22"/>
        <w:szCs w:val="22"/>
      </w:rPr>
    </w:pPr>
    <w:r w:rsidDel="00000000" w:rsidR="00000000" w:rsidRPr="00000000">
      <w:rPr>
        <w:rFonts w:ascii="Arial" w:cs="Arial" w:eastAsia="Arial" w:hAnsi="Arial"/>
        <w:b w:val="1"/>
        <w:rtl w:val="0"/>
      </w:rPr>
      <w:t xml:space="preserve">GABINETE DO DEPUTADO ROBERTO COSTA</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Av. Jerônimo de Albuquerque, s/nº - Calhau – São Luís – MA.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