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288" w14:textId="77777777" w:rsidR="008D7040" w:rsidRDefault="008D7040" w:rsidP="008D7040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14713" w14:textId="09236623" w:rsidR="008D7040" w:rsidRDefault="002A1D47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0A0887">
        <w:rPr>
          <w:rFonts w:ascii="Times New Roman" w:hAnsi="Times New Roman" w:cs="Times New Roman"/>
          <w:b/>
          <w:sz w:val="24"/>
          <w:szCs w:val="24"/>
        </w:rPr>
        <w:t>4</w:t>
      </w:r>
    </w:p>
    <w:p w14:paraId="46C7F521" w14:textId="77777777" w:rsidR="008D7040" w:rsidRPr="007479E1" w:rsidRDefault="008D7040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</w:p>
    <w:p w14:paraId="22E494A8" w14:textId="0F361567" w:rsidR="00A426A5" w:rsidRPr="007C6251" w:rsidRDefault="007C6251" w:rsidP="000A0887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Cria a Semana Estadual de </w:t>
      </w:r>
      <w:r w:rsidR="000A0887" w:rsidRPr="000A0887">
        <w:rPr>
          <w:rFonts w:ascii="Times New Roman" w:hAnsi="Times New Roman" w:cs="Times New Roman"/>
          <w:sz w:val="24"/>
          <w:szCs w:val="24"/>
        </w:rPr>
        <w:t>Conscientização sobre os Riscos, Desafios e Prevenção de Gravidez na Adolescência</w:t>
      </w:r>
      <w:r w:rsidR="000A0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no Estado do Maranhão </w:t>
      </w:r>
      <w:r w:rsidR="00A1560F" w:rsidRPr="00A1560F">
        <w:rPr>
          <w:rFonts w:ascii="Times New Roman" w:hAnsi="Times New Roman" w:cs="Times New Roman"/>
          <w:sz w:val="24"/>
          <w:szCs w:val="24"/>
        </w:rPr>
        <w:t xml:space="preserve">e dá outras providências. </w:t>
      </w:r>
    </w:p>
    <w:p w14:paraId="0B061297" w14:textId="77777777" w:rsidR="00A426A5" w:rsidRDefault="00A426A5" w:rsidP="00A426A5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EE65AB8" w14:textId="77777777" w:rsidR="008D7040" w:rsidRDefault="008D7040" w:rsidP="007479E1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501C116" w14:textId="77777777" w:rsidR="000A0887" w:rsidRDefault="008A237D" w:rsidP="00D85E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>Art.</w:t>
      </w:r>
      <w:r w:rsidR="008672F4">
        <w:rPr>
          <w:rFonts w:ascii="Times New Roman" w:hAnsi="Times New Roman" w:cs="Times New Roman"/>
          <w:sz w:val="24"/>
          <w:szCs w:val="24"/>
        </w:rPr>
        <w:t xml:space="preserve">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Pr="00804A92">
        <w:rPr>
          <w:rFonts w:ascii="Times New Roman" w:hAnsi="Times New Roman" w:cs="Times New Roman"/>
          <w:sz w:val="24"/>
          <w:szCs w:val="24"/>
        </w:rPr>
        <w:t>º</w:t>
      </w:r>
      <w:r w:rsidR="00A1560F">
        <w:rPr>
          <w:rFonts w:ascii="Times New Roman" w:hAnsi="Times New Roman" w:cs="Times New Roman"/>
          <w:sz w:val="24"/>
          <w:szCs w:val="24"/>
        </w:rPr>
        <w:t xml:space="preserve"> </w:t>
      </w:r>
      <w:r w:rsidR="006E0CF2">
        <w:rPr>
          <w:rFonts w:ascii="Times New Roman" w:hAnsi="Times New Roman" w:cs="Times New Roman"/>
          <w:sz w:val="24"/>
          <w:szCs w:val="24"/>
        </w:rPr>
        <w:t>Fica</w:t>
      </w:r>
      <w:r w:rsidR="007C6251">
        <w:rPr>
          <w:rFonts w:ascii="Times New Roman" w:hAnsi="Times New Roman" w:cs="Times New Roman"/>
          <w:sz w:val="24"/>
          <w:szCs w:val="24"/>
        </w:rPr>
        <w:t xml:space="preserve"> instituída</w:t>
      </w:r>
      <w:r w:rsidR="007C6251" w:rsidRPr="007C6251">
        <w:rPr>
          <w:rFonts w:ascii="Times New Roman" w:hAnsi="Times New Roman" w:cs="Times New Roman"/>
          <w:sz w:val="24"/>
          <w:szCs w:val="24"/>
        </w:rPr>
        <w:t xml:space="preserve">, a Semana Estadual </w:t>
      </w:r>
      <w:r w:rsidR="007C625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de</w:t>
      </w:r>
      <w:r w:rsidR="000A0887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0A0887" w:rsidRPr="000A0887">
        <w:rPr>
          <w:rFonts w:ascii="Times New Roman" w:hAnsi="Times New Roman" w:cs="Times New Roman"/>
          <w:sz w:val="24"/>
          <w:szCs w:val="24"/>
        </w:rPr>
        <w:t>Conscientização sobre os Riscos, Desafios e Prevenção de Gravidez na Adolescência</w:t>
      </w:r>
      <w:r w:rsidR="000A0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0887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no Estado do Maranhão</w:t>
      </w:r>
      <w:r w:rsidR="007C6251" w:rsidRPr="007C6251">
        <w:rPr>
          <w:rFonts w:ascii="Times New Roman" w:hAnsi="Times New Roman" w:cs="Times New Roman"/>
          <w:sz w:val="24"/>
          <w:szCs w:val="24"/>
        </w:rPr>
        <w:t>, a ser realizada anualmente na</w:t>
      </w:r>
      <w:r w:rsidR="000A0887">
        <w:t xml:space="preserve"> </w:t>
      </w:r>
      <w:r w:rsidR="000A0887" w:rsidRPr="000A0887">
        <w:rPr>
          <w:rFonts w:ascii="Times New Roman" w:hAnsi="Times New Roman" w:cs="Times New Roman"/>
          <w:sz w:val="24"/>
          <w:szCs w:val="24"/>
        </w:rPr>
        <w:t>segunda semana do mês de fevereiro.</w:t>
      </w:r>
    </w:p>
    <w:p w14:paraId="7EEBEAE1" w14:textId="72FC9E85" w:rsidR="000A0887" w:rsidRPr="00B47EAE" w:rsidRDefault="000A0887" w:rsidP="00B47EAE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63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B47EAE" w:rsidRPr="00B47EAE">
        <w:rPr>
          <w:rFonts w:ascii="Times New Roman" w:hAnsi="Times New Roman" w:cs="Times New Roman"/>
          <w:sz w:val="24"/>
          <w:szCs w:val="24"/>
        </w:rPr>
        <w:t>A ação de que trata o caput deste artigo está em consonância com o disposto na Lei Federal nº 13.798, de 3 de janeiro de 2019, que alterou a Lei nº 8.069, de 13 de julho de 1990, para instituir a Semana Estadual de Conscientização sobre os Riscos, Desafios e Prevenção de Gravidez na Adolescência, cujas ações ficam a cargo do poder público, em conjunto com organizações da sociedade civil, e serão dirigidas prioritariamente ao público adolescente.</w:t>
      </w:r>
    </w:p>
    <w:p w14:paraId="773547CE" w14:textId="1F22D970" w:rsidR="000A0887" w:rsidRDefault="008672F4" w:rsidP="00D85E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</w:t>
      </w:r>
      <w:r w:rsidR="00B47EAE" w:rsidRPr="00B47EAE">
        <w:rPr>
          <w:rFonts w:ascii="Times New Roman" w:hAnsi="Times New Roman" w:cs="Times New Roman"/>
          <w:sz w:val="24"/>
          <w:szCs w:val="24"/>
        </w:rPr>
        <w:t>A Semana Estadual de Conscientização sobre os Riscos, Desafios e Prevenção de Gravidez na Adolescência</w:t>
      </w:r>
      <w:r w:rsidR="00B47EAE">
        <w:rPr>
          <w:rFonts w:ascii="Times New Roman" w:hAnsi="Times New Roman" w:cs="Times New Roman"/>
          <w:sz w:val="24"/>
          <w:szCs w:val="24"/>
        </w:rPr>
        <w:t xml:space="preserve"> </w:t>
      </w:r>
      <w:r w:rsidR="00B47EAE" w:rsidRPr="00B47EAE">
        <w:rPr>
          <w:rFonts w:ascii="Times New Roman" w:hAnsi="Times New Roman" w:cs="Times New Roman"/>
          <w:sz w:val="24"/>
          <w:szCs w:val="24"/>
        </w:rPr>
        <w:t>tem como objetivos</w:t>
      </w:r>
      <w:r w:rsidR="00B47EAE">
        <w:rPr>
          <w:rFonts w:ascii="Times New Roman" w:hAnsi="Times New Roman" w:cs="Times New Roman"/>
          <w:sz w:val="24"/>
          <w:szCs w:val="24"/>
        </w:rPr>
        <w:t>:</w:t>
      </w:r>
    </w:p>
    <w:p w14:paraId="37A799FA" w14:textId="475486EC" w:rsidR="00B47EAE" w:rsidRPr="00B47EAE" w:rsidRDefault="00BC41BD" w:rsidP="00B47EAE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A8">
        <w:rPr>
          <w:rFonts w:ascii="Times New Roman" w:hAnsi="Times New Roman" w:cs="Times New Roman"/>
          <w:sz w:val="24"/>
          <w:szCs w:val="24"/>
        </w:rPr>
        <w:t xml:space="preserve">I </w:t>
      </w:r>
      <w:r w:rsidR="00B47EAE">
        <w:rPr>
          <w:rFonts w:ascii="Times New Roman" w:hAnsi="Times New Roman" w:cs="Times New Roman"/>
          <w:sz w:val="24"/>
          <w:szCs w:val="24"/>
        </w:rPr>
        <w:t>–</w:t>
      </w:r>
      <w:r w:rsidR="00BE111F">
        <w:rPr>
          <w:rFonts w:ascii="Times New Roman" w:hAnsi="Times New Roman" w:cs="Times New Roman"/>
          <w:sz w:val="24"/>
          <w:szCs w:val="24"/>
        </w:rPr>
        <w:t xml:space="preserve"> </w:t>
      </w:r>
      <w:r w:rsidR="00B47EAE" w:rsidRPr="00B47EAE">
        <w:rPr>
          <w:rFonts w:ascii="Times New Roman" w:hAnsi="Times New Roman" w:cs="Times New Roman"/>
          <w:sz w:val="24"/>
          <w:szCs w:val="24"/>
        </w:rPr>
        <w:t>promover atividades de caráter preventivo e educativo, desenvolvidas de forma conjunta e integrada pelos órgãos e entidades da administração pública estadual, responsáveis pela execução das políticas setoriais nas áreas da criança e do adolescente, da juventude, da saúde, da educação, da justiça, dos direitos humanos, da mulher, da diversidade sexual, da igualdade étnica e racial, da comunicação, do trabalho, da assistência social, da cultura, do turismo, do esporte e do lazer;</w:t>
      </w:r>
    </w:p>
    <w:p w14:paraId="53FAEB58" w14:textId="77777777" w:rsidR="00B47EAE" w:rsidRDefault="00B47EAE" w:rsidP="00BC41BD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Pr="00B47EAE">
        <w:rPr>
          <w:rFonts w:ascii="Times New Roman" w:hAnsi="Times New Roman" w:cs="Times New Roman"/>
          <w:sz w:val="24"/>
          <w:szCs w:val="24"/>
        </w:rPr>
        <w:t>dar visibilidade às políticas públicas estabelecidas para ampliar o acesso universal de adolescentes de todos os gêneros aos serviços de saúde sexual e reprodutiva, incluindo o planejamento familiar, a informação e a educação, bem como a integração da saúde reprodutiva em estratégias e em programas estaduais, ampliando e fortalecendo a atenção a este tem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350FF78C" w14:textId="0D781CF0" w:rsidR="00B47EAE" w:rsidRDefault="00B47EAE" w:rsidP="00BC41BD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 - </w:t>
      </w:r>
      <w:r w:rsidRPr="00B47EAE">
        <w:rPr>
          <w:rFonts w:ascii="Times New Roman" w:hAnsi="Times New Roman" w:cs="Times New Roman"/>
          <w:sz w:val="24"/>
          <w:szCs w:val="24"/>
        </w:rPr>
        <w:t>divulgar informações que contribuam para a conscientização sobre os riscos e desafios da gravidez precoce no Estado;</w:t>
      </w:r>
    </w:p>
    <w:p w14:paraId="1643C060" w14:textId="50B0EC6D" w:rsidR="00B47EAE" w:rsidRDefault="00B47EAE" w:rsidP="00BC41BD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="007B190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iabilizar </w:t>
      </w:r>
      <w:r w:rsidRPr="00B47EAE">
        <w:rPr>
          <w:rFonts w:ascii="Times New Roman" w:hAnsi="Times New Roman" w:cs="Times New Roman"/>
          <w:sz w:val="24"/>
          <w:szCs w:val="24"/>
        </w:rPr>
        <w:t xml:space="preserve">a continuidade das ações de prevenção da gravidez na adolescência por intermédio das políticas públicas instituídas no Estado; </w:t>
      </w:r>
    </w:p>
    <w:p w14:paraId="622D4B3E" w14:textId="5C2D5E76" w:rsidR="00403A3A" w:rsidRPr="00403A3A" w:rsidRDefault="00B47EAE" w:rsidP="00B47EAE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EAE">
        <w:rPr>
          <w:rFonts w:ascii="Times New Roman" w:hAnsi="Times New Roman" w:cs="Times New Roman"/>
          <w:sz w:val="24"/>
          <w:szCs w:val="24"/>
        </w:rPr>
        <w:t xml:space="preserve"> V - promover o acolhimento, oferecer orientações a dar continuidade às ações em saúde às adolescentes grávidas, durante o período pré e pós parto.</w:t>
      </w:r>
    </w:p>
    <w:p w14:paraId="7549C0E6" w14:textId="31D32C98" w:rsidR="00B47EAE" w:rsidRDefault="006E0CF2" w:rsidP="00FA0498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403A3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B47EAE">
        <w:rPr>
          <w:rFonts w:ascii="Times New Roman" w:hAnsi="Times New Roman" w:cs="Times New Roman"/>
          <w:bCs/>
          <w:sz w:val="24"/>
          <w:szCs w:val="24"/>
        </w:rPr>
        <w:t>Para a consecução da</w:t>
      </w:r>
      <w:r w:rsidR="00055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7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Semana Estadual de </w:t>
      </w:r>
      <w:r w:rsidR="00055172" w:rsidRPr="000A0887">
        <w:rPr>
          <w:rFonts w:ascii="Times New Roman" w:hAnsi="Times New Roman" w:cs="Times New Roman"/>
          <w:sz w:val="24"/>
          <w:szCs w:val="24"/>
        </w:rPr>
        <w:t xml:space="preserve">Conscientização sobre os Riscos, </w:t>
      </w:r>
      <w:r w:rsidR="00055172" w:rsidRPr="00055172">
        <w:rPr>
          <w:rFonts w:ascii="Times New Roman" w:hAnsi="Times New Roman" w:cs="Times New Roman"/>
          <w:sz w:val="24"/>
          <w:szCs w:val="24"/>
        </w:rPr>
        <w:t>Desafios e Prevenção de Gravidez na Adolescência</w:t>
      </w:r>
      <w:r w:rsidR="00055172" w:rsidRPr="000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5172" w:rsidRPr="0005517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no Estado</w:t>
      </w:r>
      <w:r w:rsidR="00055172" w:rsidRPr="0005517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poderão participar das atividades os </w:t>
      </w:r>
      <w:r w:rsidR="00B47EAE" w:rsidRPr="00055172">
        <w:rPr>
          <w:rFonts w:ascii="Times New Roman" w:hAnsi="Times New Roman" w:cs="Times New Roman"/>
          <w:sz w:val="24"/>
          <w:szCs w:val="24"/>
        </w:rPr>
        <w:t xml:space="preserve">órgãos e entidades da administração pública estadual; </w:t>
      </w:r>
      <w:r w:rsidR="00055172">
        <w:rPr>
          <w:rFonts w:ascii="Times New Roman" w:hAnsi="Times New Roman" w:cs="Times New Roman"/>
          <w:sz w:val="24"/>
          <w:szCs w:val="24"/>
        </w:rPr>
        <w:t xml:space="preserve">os </w:t>
      </w:r>
      <w:r w:rsidR="00B47EAE" w:rsidRPr="00055172">
        <w:rPr>
          <w:rFonts w:ascii="Times New Roman" w:hAnsi="Times New Roman" w:cs="Times New Roman"/>
          <w:sz w:val="24"/>
          <w:szCs w:val="24"/>
        </w:rPr>
        <w:t>órgãos e entidades de outras esferas da administração pública, de outros Poderes e órgãos autônomos; e entidades da sociedade civil que se articulem com a política de Estado</w:t>
      </w:r>
      <w:r w:rsidR="00055172">
        <w:rPr>
          <w:rFonts w:ascii="Times New Roman" w:hAnsi="Times New Roman" w:cs="Times New Roman"/>
          <w:sz w:val="24"/>
          <w:szCs w:val="24"/>
        </w:rPr>
        <w:t>.</w:t>
      </w:r>
    </w:p>
    <w:p w14:paraId="103C8591" w14:textId="21388964" w:rsidR="00FA0498" w:rsidRPr="00055172" w:rsidRDefault="00055172" w:rsidP="00FA0498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4° A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Semana Estadual de </w:t>
      </w:r>
      <w:r w:rsidRPr="000A0887">
        <w:rPr>
          <w:rFonts w:ascii="Times New Roman" w:hAnsi="Times New Roman" w:cs="Times New Roman"/>
          <w:sz w:val="24"/>
          <w:szCs w:val="24"/>
        </w:rPr>
        <w:t>Conscientização sobre os Riscos, Desafios e Prevenção de Gravidez na Adolescência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no Estado do Maranhão</w:t>
      </w:r>
      <w:r w:rsidR="008D7F82">
        <w:rPr>
          <w:rFonts w:ascii="Times New Roman" w:hAnsi="Times New Roman"/>
          <w:sz w:val="24"/>
          <w:szCs w:val="24"/>
        </w:rPr>
        <w:t xml:space="preserve">, </w:t>
      </w:r>
      <w:r w:rsidR="006E0CF2">
        <w:rPr>
          <w:rFonts w:ascii="Times New Roman" w:hAnsi="Times New Roman" w:cs="Times New Roman"/>
          <w:bCs/>
          <w:sz w:val="24"/>
          <w:szCs w:val="24"/>
        </w:rPr>
        <w:t xml:space="preserve">passará a integrar o Calendário Oficial do Estado do Maranhão. </w:t>
      </w:r>
    </w:p>
    <w:p w14:paraId="5BA9A955" w14:textId="1D408C08" w:rsidR="006E0CF2" w:rsidRPr="00FA0498" w:rsidRDefault="006E0CF2" w:rsidP="00FA04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0551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º Esta Lei entra em vigor na data de sua publicação</w:t>
      </w:r>
    </w:p>
    <w:p w14:paraId="7F7CDBB8" w14:textId="77777777" w:rsidR="002B47EF" w:rsidRDefault="002B47EF" w:rsidP="002B47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46A8" w14:textId="0DE350AA" w:rsidR="008A237D" w:rsidRPr="008D7040" w:rsidRDefault="008A237D" w:rsidP="008D704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Haickel, do Palácio Manuel Beckman, em São Luís, </w:t>
      </w:r>
      <w:r w:rsidR="00055172">
        <w:rPr>
          <w:rFonts w:ascii="Times New Roman" w:hAnsi="Times New Roman" w:cs="Times New Roman"/>
          <w:sz w:val="24"/>
          <w:szCs w:val="24"/>
        </w:rPr>
        <w:t>16</w:t>
      </w:r>
      <w:r w:rsidR="00FA0498">
        <w:rPr>
          <w:rFonts w:ascii="Times New Roman" w:hAnsi="Times New Roman" w:cs="Times New Roman"/>
          <w:sz w:val="24"/>
          <w:szCs w:val="24"/>
        </w:rPr>
        <w:t xml:space="preserve"> de </w:t>
      </w:r>
      <w:r w:rsidR="00055172">
        <w:rPr>
          <w:rFonts w:ascii="Times New Roman" w:hAnsi="Times New Roman" w:cs="Times New Roman"/>
          <w:sz w:val="24"/>
          <w:szCs w:val="24"/>
        </w:rPr>
        <w:t xml:space="preserve">fevereiro </w:t>
      </w:r>
      <w:r w:rsidR="008D704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51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C5431" w14:textId="77777777" w:rsidR="00C564F8" w:rsidRDefault="00C564F8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02CB1" w14:textId="58D078BC" w:rsidR="00851941" w:rsidRDefault="0085194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4A002" w14:textId="77777777" w:rsidR="00BE111F" w:rsidRDefault="00BE111F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0B6686A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FFE1FC6" w14:textId="4E04B39E" w:rsidR="002B47EF" w:rsidRDefault="002B47EF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56B9309" w14:textId="2AF4838F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167BCC6" w14:textId="03C1B7C6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9B3D11E" w14:textId="426A34FD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F1C5C55" w14:textId="77777777" w:rsidR="002F37A0" w:rsidRDefault="002F37A0" w:rsidP="002F37A0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5F58A4C" w14:textId="748B3566" w:rsidR="002F37A0" w:rsidRDefault="00AC7E42" w:rsidP="002F37A0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76597D7C" w14:textId="77777777" w:rsidR="007770B1" w:rsidRDefault="007770B1" w:rsidP="002F37A0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A4CD493" w14:textId="77777777" w:rsidR="002F37A0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F37A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F37A0">
        <w:rPr>
          <w:szCs w:val="24"/>
        </w:rPr>
        <w:t>A gravidez na adolescência é um fenômeno complexo e envolve múltiplas dimensões da vida humana, diretamente relacionada ao contexto sociocultural, econômico e político, assim como às dimensões étnicas e raciais e de gênero. Portanto, a prevenção da gravidez durante a adolescência exige esforços dos distintos setores públicos responsáveis pela formulação e pela implementação de políticas públicas que têm como perspectiva central os direitos humanos, mas demanda também o envolvimento de todos os setores da sociedade civil.</w:t>
      </w:r>
    </w:p>
    <w:p w14:paraId="1BAB737A" w14:textId="77777777" w:rsidR="002F37A0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F37A0">
        <w:rPr>
          <w:szCs w:val="24"/>
          <w:shd w:val="clear" w:color="auto" w:fill="FFFFFF"/>
        </w:rPr>
        <w:t xml:space="preserve">Segundo dados </w:t>
      </w:r>
      <w:r>
        <w:rPr>
          <w:szCs w:val="24"/>
          <w:shd w:val="clear" w:color="auto" w:fill="FFFFFF"/>
        </w:rPr>
        <w:t>da Secretaria de Estado da Saúde do Maranhão (SES), c</w:t>
      </w:r>
      <w:r w:rsidRPr="002F37A0">
        <w:rPr>
          <w:szCs w:val="24"/>
        </w:rPr>
        <w:t>erca de 21% das mulheres grávidas no Maranhão são adolescentes, ou seja, pessoas com menos de 18 anos. Nas regionais de saúde de Zé Doca, Santa Inês, Barra do Corda, Bacabal, Viana e Codó, o percentual chega a quase 30% das grávidas.</w:t>
      </w:r>
    </w:p>
    <w:p w14:paraId="7426245B" w14:textId="77777777" w:rsidR="002F37A0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color w:val="auto"/>
          <w:szCs w:val="24"/>
        </w:rPr>
      </w:pPr>
      <w:r w:rsidRPr="002F37A0">
        <w:rPr>
          <w:color w:val="auto"/>
          <w:szCs w:val="24"/>
        </w:rPr>
        <w:t>Tratar a gravidez na adolescência sob uma perspectiva preventiva e de atenção integral à menina e ao menino adolescentes proporciona a estes sujeitos o exercício da vida sexual e reprodutiva com base em valores e comportamentos mais autônomos, com decisões mais responsáveis, além da construção de projetos de vida de longo prazo. Favorece também que a gestante adolescente tenha uma gravidez saudável e uma rede de cuidado e proteção para ela e o bebê, garantindo o atendimento de suas necessidades psicossociais, como a permanência na escola, o apoio da comunidade, da família e do pai adolescente.</w:t>
      </w:r>
    </w:p>
    <w:p w14:paraId="05FFF911" w14:textId="77777777" w:rsidR="002F37A0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color w:val="auto"/>
          <w:szCs w:val="24"/>
        </w:rPr>
      </w:pPr>
      <w:r w:rsidRPr="002F37A0">
        <w:rPr>
          <w:color w:val="auto"/>
          <w:szCs w:val="24"/>
        </w:rPr>
        <w:t>O </w:t>
      </w:r>
      <w:hyperlink r:id="rId8" w:history="1">
        <w:r w:rsidRPr="002F37A0">
          <w:rPr>
            <w:rStyle w:val="Hyperlink"/>
            <w:color w:val="auto"/>
            <w:szCs w:val="24"/>
            <w:u w:val="none"/>
          </w:rPr>
          <w:t>Estatuto da Criança e do Adolescente (ECA) </w:t>
        </w:r>
      </w:hyperlink>
      <w:r w:rsidRPr="002F37A0">
        <w:rPr>
          <w:color w:val="auto"/>
          <w:szCs w:val="24"/>
        </w:rPr>
        <w:t>garante às crianças e aos adolescentes o direito à vida e à saúde, à liberdade, ao respeito e à dignidade, à convivência familiar e comunitária, à educação, à cultura, ao esporte e ao lazer, à profissionalização e à proteção no trabalho e, ainda, os princípios da </w:t>
      </w:r>
      <w:hyperlink r:id="rId9" w:history="1">
        <w:r w:rsidRPr="002F37A0">
          <w:rPr>
            <w:rStyle w:val="Hyperlink"/>
            <w:color w:val="auto"/>
            <w:szCs w:val="24"/>
            <w:u w:val="none"/>
          </w:rPr>
          <w:t>Convenção Internacional sobre os Direitos da Criança</w:t>
        </w:r>
      </w:hyperlink>
      <w:r w:rsidRPr="002F37A0">
        <w:rPr>
          <w:color w:val="auto"/>
          <w:szCs w:val="24"/>
        </w:rPr>
        <w:t>, que preconiza a autonomia, o protagonismo e a participação dos adolescentes, fazem emergir a necessidade da articulação em rede e do olhar amplo para as diferentes adolescências e suas especificidades.</w:t>
      </w:r>
    </w:p>
    <w:p w14:paraId="4638DA4C" w14:textId="691A8CC2" w:rsidR="002F37A0" w:rsidRDefault="007770B1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color w:val="auto"/>
          <w:szCs w:val="24"/>
        </w:rPr>
      </w:pPr>
      <w:r>
        <w:rPr>
          <w:color w:val="auto"/>
          <w:szCs w:val="24"/>
        </w:rPr>
        <w:t>É fato que, d</w:t>
      </w:r>
      <w:r w:rsidR="002F37A0" w:rsidRPr="002F37A0">
        <w:rPr>
          <w:color w:val="auto"/>
          <w:szCs w:val="24"/>
        </w:rPr>
        <w:t xml:space="preserve">iversos fatores concorrem para a gestação na adolescência. No entanto, a desinformação sobre sexualidade, sobre direitos sexuais e reprodutivos é o principal motivo. Questões emocionais, psicossociais e contextuais também contribuem, </w:t>
      </w:r>
      <w:r w:rsidR="002F37A0" w:rsidRPr="002F37A0">
        <w:rPr>
          <w:color w:val="auto"/>
          <w:szCs w:val="24"/>
        </w:rPr>
        <w:lastRenderedPageBreak/>
        <w:t>inclusive para a falta de acesso à proteção social e ao sistema de saúde, incluindo o uso inadequado de contraceptivos, como métodos de barreira e preservativos.</w:t>
      </w:r>
    </w:p>
    <w:p w14:paraId="26A73D6E" w14:textId="77777777" w:rsidR="002F37A0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color w:val="auto"/>
          <w:szCs w:val="24"/>
        </w:rPr>
      </w:pPr>
      <w:r w:rsidRPr="002F37A0">
        <w:rPr>
          <w:color w:val="auto"/>
          <w:szCs w:val="24"/>
        </w:rPr>
        <w:t>Segundo a Organização Mundial de Saúde (OMS), a gestação nesta faixa etária é uma condição que eleva a prevalência de complicações maternas, fetais e neonatais, além de agravar problemas socioeconômicos existentes. Como em outras condições de saúde, o prognóstico da gravidez na adolescência depende da interação de fatores biológicos, sociais, psicológicos, culturais e econômicos.</w:t>
      </w:r>
    </w:p>
    <w:p w14:paraId="3815C8E3" w14:textId="78EC658C" w:rsidR="00055172" w:rsidRDefault="002F37A0" w:rsidP="002F37A0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color w:val="auto"/>
          <w:szCs w:val="24"/>
        </w:rPr>
      </w:pPr>
      <w:r w:rsidRPr="002F37A0">
        <w:rPr>
          <w:color w:val="auto"/>
          <w:szCs w:val="24"/>
        </w:rPr>
        <w:t>As complicações e gravidade da gestação correlacionam-se à idade da adolescente (maiores riscos para meninas com menos de 16 anos, especialmente menores de 14 anos, ou com menos de dois anos da menarca/primeira menstruação), paridade, início e aderência ao pré-natal, ganho de peso e aspectos nutricionais.</w:t>
      </w:r>
    </w:p>
    <w:p w14:paraId="074B6B63" w14:textId="65A8461E" w:rsidR="007770B1" w:rsidRDefault="002F37A0" w:rsidP="007770B1">
      <w:pPr>
        <w:pStyle w:val="NormalWeb"/>
        <w:shd w:val="clear" w:color="auto" w:fill="FFFFFF"/>
        <w:spacing w:before="0" w:after="0" w:line="360" w:lineRule="auto"/>
        <w:ind w:firstLine="1134"/>
        <w:jc w:val="both"/>
      </w:pPr>
      <w:r>
        <w:rPr>
          <w:color w:val="auto"/>
          <w:szCs w:val="24"/>
        </w:rPr>
        <w:t xml:space="preserve">Por todo o exposto, vemos que </w:t>
      </w:r>
      <w:r w:rsidR="007770B1">
        <w:rPr>
          <w:color w:val="auto"/>
          <w:szCs w:val="24"/>
        </w:rPr>
        <w:t xml:space="preserve">é essencial </w:t>
      </w:r>
      <w:r>
        <w:t xml:space="preserve">criar um espaço dedicado à conscientização, discussão e prevenção da gravidez na adolescência. A Semana Estadual de Conscientização sobre os Riscos, Desafios e Prevenção de </w:t>
      </w:r>
      <w:r w:rsidR="007770B1">
        <w:t>Gravidez</w:t>
      </w:r>
      <w:r>
        <w:t xml:space="preserve"> na Adolescência </w:t>
      </w:r>
      <w:r w:rsidR="007770B1">
        <w:t xml:space="preserve">no Estado </w:t>
      </w:r>
      <w:r>
        <w:t xml:space="preserve">proporcionará um ambiente propício para a educação, conscientização e discussões significativas. </w:t>
      </w:r>
    </w:p>
    <w:p w14:paraId="418DB5FB" w14:textId="77777777" w:rsidR="007770B1" w:rsidRDefault="002F37A0" w:rsidP="007770B1">
      <w:pPr>
        <w:pStyle w:val="NormalWeb"/>
        <w:shd w:val="clear" w:color="auto" w:fill="FFFFFF"/>
        <w:spacing w:before="0" w:after="0" w:line="360" w:lineRule="auto"/>
        <w:ind w:firstLine="1134"/>
        <w:jc w:val="both"/>
      </w:pPr>
      <w:r>
        <w:t xml:space="preserve">Durante essa semana, serão promovidas atividades, palestras, rodas de discussão e divulgação de informações sobre prevenção, cuidados pré-natais e apoio às adolescentes </w:t>
      </w:r>
      <w:r w:rsidR="007770B1">
        <w:t>gravidas</w:t>
      </w:r>
      <w:r>
        <w:t xml:space="preserve">. A prevenção da gravidez na adolescência não deve ser apenas uma responsabilidade do sistema de saúde, mas de toda a sociedade. </w:t>
      </w:r>
      <w:r w:rsidR="007770B1">
        <w:t>Além</w:t>
      </w:r>
      <w:r>
        <w:t xml:space="preserve"> disso, este projeto reconhece que a prevenção é apenas uma parte da solução. Aqueles </w:t>
      </w:r>
      <w:r w:rsidR="007770B1">
        <w:t>que já</w:t>
      </w:r>
      <w:r>
        <w:t xml:space="preserve"> enfrentaram a gravidez na adolescência devem ser apoiados para que </w:t>
      </w:r>
      <w:r w:rsidR="007770B1">
        <w:t>possam</w:t>
      </w:r>
      <w:r>
        <w:t xml:space="preserve"> continuar sua educação, desenvolver habilidades profissionais e garantir um futuro melhor para si e para seus filhos. </w:t>
      </w:r>
    </w:p>
    <w:p w14:paraId="2591549D" w14:textId="100184F3" w:rsidR="00A43BDB" w:rsidRPr="00410107" w:rsidRDefault="002941EB" w:rsidP="00410107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p</w:t>
      </w:r>
      <w:r w:rsidRPr="00AA5C45">
        <w:rPr>
          <w:rFonts w:ascii="Times New Roman" w:hAnsi="Times New Roman" w:cs="Times New Roman"/>
          <w:sz w:val="24"/>
          <w:szCs w:val="24"/>
        </w:rPr>
        <w:t xml:space="preserve">elo o exposto, </w:t>
      </w:r>
      <w:r w:rsidR="00A43BDB" w:rsidRPr="009B1B4C">
        <w:rPr>
          <w:rFonts w:ascii="Times New Roman" w:hAnsi="Times New Roman" w:cs="Times New Roman"/>
          <w:sz w:val="24"/>
          <w:szCs w:val="24"/>
        </w:rPr>
        <w:t>contamos com o apoio dos Excelentíssimos Parlamentares para a aprovação deste Projeto de Lei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  <w:r w:rsidR="00A43BDB" w:rsidRPr="009B1B4C">
        <w:rPr>
          <w:rFonts w:ascii="Times New Roman" w:hAnsi="Times New Roman" w:cs="Times New Roman"/>
          <w:sz w:val="24"/>
          <w:szCs w:val="24"/>
        </w:rPr>
        <w:t>Assim sendo, submetemos à consideração do Plenário desta Casa Legislativa a presente proposição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F23CC" w14:textId="785D5080" w:rsidR="00410107" w:rsidRDefault="00410107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C298" w14:textId="77777777" w:rsidR="00485619" w:rsidRDefault="00485619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7D10B5" w14:textId="5C075D75" w:rsidR="001E1F12" w:rsidRPr="00410107" w:rsidRDefault="003953F0" w:rsidP="0041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410107" w:rsidSect="00961806">
      <w:headerReference w:type="default" r:id="rId10"/>
      <w:footerReference w:type="default" r:id="rId11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>Leandro Bello</w:t>
    </w:r>
  </w:p>
  <w:p w14:paraId="0D7BAEDB" w14:textId="0FCE39FA" w:rsidR="007479E1" w:rsidRDefault="00D77490" w:rsidP="008D7040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6612DE91" w14:textId="77777777" w:rsidR="008D7040" w:rsidRPr="008D7040" w:rsidRDefault="008D7040" w:rsidP="008D7040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348835">
    <w:abstractNumId w:val="0"/>
  </w:num>
  <w:num w:numId="2" w16cid:durableId="507403807">
    <w:abstractNumId w:val="2"/>
  </w:num>
  <w:num w:numId="3" w16cid:durableId="682708077">
    <w:abstractNumId w:val="3"/>
  </w:num>
  <w:num w:numId="4" w16cid:durableId="42133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174B1"/>
    <w:rsid w:val="000202C3"/>
    <w:rsid w:val="00023E28"/>
    <w:rsid w:val="00024C6C"/>
    <w:rsid w:val="00025A27"/>
    <w:rsid w:val="00030B49"/>
    <w:rsid w:val="0003710B"/>
    <w:rsid w:val="00037780"/>
    <w:rsid w:val="00037A33"/>
    <w:rsid w:val="00043623"/>
    <w:rsid w:val="000460FC"/>
    <w:rsid w:val="00051739"/>
    <w:rsid w:val="0005441E"/>
    <w:rsid w:val="00054688"/>
    <w:rsid w:val="00055172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0887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12AC"/>
    <w:rsid w:val="000E3D2D"/>
    <w:rsid w:val="000E44A2"/>
    <w:rsid w:val="000E52A1"/>
    <w:rsid w:val="000F0084"/>
    <w:rsid w:val="000F0AB3"/>
    <w:rsid w:val="000F4975"/>
    <w:rsid w:val="000F534C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2EC3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1B6D"/>
    <w:rsid w:val="001D3088"/>
    <w:rsid w:val="001D39D8"/>
    <w:rsid w:val="001D673A"/>
    <w:rsid w:val="001D709C"/>
    <w:rsid w:val="001E1B6D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41EB"/>
    <w:rsid w:val="002A03FC"/>
    <w:rsid w:val="002A18B2"/>
    <w:rsid w:val="002A1D47"/>
    <w:rsid w:val="002A201B"/>
    <w:rsid w:val="002A2048"/>
    <w:rsid w:val="002A67B4"/>
    <w:rsid w:val="002A758A"/>
    <w:rsid w:val="002B47EF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F01E4"/>
    <w:rsid w:val="002F16B0"/>
    <w:rsid w:val="002F21E8"/>
    <w:rsid w:val="002F37A0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3E2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D66C5"/>
    <w:rsid w:val="003E1BAD"/>
    <w:rsid w:val="003E661B"/>
    <w:rsid w:val="003F7BF0"/>
    <w:rsid w:val="00402301"/>
    <w:rsid w:val="00403A3A"/>
    <w:rsid w:val="00403C1B"/>
    <w:rsid w:val="004047DD"/>
    <w:rsid w:val="00410107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83D8E"/>
    <w:rsid w:val="00485619"/>
    <w:rsid w:val="004875A3"/>
    <w:rsid w:val="0049128E"/>
    <w:rsid w:val="004968A4"/>
    <w:rsid w:val="004970F2"/>
    <w:rsid w:val="004A3FBD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040A"/>
    <w:rsid w:val="005310C1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4964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0133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40BA"/>
    <w:rsid w:val="006D53C2"/>
    <w:rsid w:val="006E0CF2"/>
    <w:rsid w:val="006E400B"/>
    <w:rsid w:val="006E69E0"/>
    <w:rsid w:val="006F1A3F"/>
    <w:rsid w:val="006F443C"/>
    <w:rsid w:val="007003C6"/>
    <w:rsid w:val="007072BC"/>
    <w:rsid w:val="007075F9"/>
    <w:rsid w:val="00710B11"/>
    <w:rsid w:val="00710B94"/>
    <w:rsid w:val="00711318"/>
    <w:rsid w:val="00714522"/>
    <w:rsid w:val="0072488F"/>
    <w:rsid w:val="00733A6E"/>
    <w:rsid w:val="00735BBA"/>
    <w:rsid w:val="0073632D"/>
    <w:rsid w:val="00736AD0"/>
    <w:rsid w:val="00744DC0"/>
    <w:rsid w:val="007479E1"/>
    <w:rsid w:val="00747B57"/>
    <w:rsid w:val="00753276"/>
    <w:rsid w:val="007670D4"/>
    <w:rsid w:val="00770730"/>
    <w:rsid w:val="00773D8D"/>
    <w:rsid w:val="007770B1"/>
    <w:rsid w:val="00780A1A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B1901"/>
    <w:rsid w:val="007C0AF5"/>
    <w:rsid w:val="007C197A"/>
    <w:rsid w:val="007C3045"/>
    <w:rsid w:val="007C6251"/>
    <w:rsid w:val="007D6D75"/>
    <w:rsid w:val="007D7348"/>
    <w:rsid w:val="007E01C9"/>
    <w:rsid w:val="007E316D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7445"/>
    <w:rsid w:val="00821AC2"/>
    <w:rsid w:val="00821EDB"/>
    <w:rsid w:val="00833CD1"/>
    <w:rsid w:val="00840702"/>
    <w:rsid w:val="00851941"/>
    <w:rsid w:val="00861C4D"/>
    <w:rsid w:val="00864D04"/>
    <w:rsid w:val="008672F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D7040"/>
    <w:rsid w:val="008D7F82"/>
    <w:rsid w:val="008F0587"/>
    <w:rsid w:val="008F05E3"/>
    <w:rsid w:val="009024A8"/>
    <w:rsid w:val="00903F13"/>
    <w:rsid w:val="009049DE"/>
    <w:rsid w:val="00907AAE"/>
    <w:rsid w:val="00910ABB"/>
    <w:rsid w:val="009117CD"/>
    <w:rsid w:val="00940C10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560F"/>
    <w:rsid w:val="00A17640"/>
    <w:rsid w:val="00A22925"/>
    <w:rsid w:val="00A22A9D"/>
    <w:rsid w:val="00A30822"/>
    <w:rsid w:val="00A377E2"/>
    <w:rsid w:val="00A37E92"/>
    <w:rsid w:val="00A426A5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F9F"/>
    <w:rsid w:val="00A86E6B"/>
    <w:rsid w:val="00A9506D"/>
    <w:rsid w:val="00A96781"/>
    <w:rsid w:val="00A97E60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10D77"/>
    <w:rsid w:val="00B3229B"/>
    <w:rsid w:val="00B32C86"/>
    <w:rsid w:val="00B43981"/>
    <w:rsid w:val="00B4417A"/>
    <w:rsid w:val="00B46B32"/>
    <w:rsid w:val="00B46C7C"/>
    <w:rsid w:val="00B47EAE"/>
    <w:rsid w:val="00B65AA8"/>
    <w:rsid w:val="00B67539"/>
    <w:rsid w:val="00B7224C"/>
    <w:rsid w:val="00B72839"/>
    <w:rsid w:val="00B82987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41BD"/>
    <w:rsid w:val="00BC7DFA"/>
    <w:rsid w:val="00BD26D7"/>
    <w:rsid w:val="00BD3218"/>
    <w:rsid w:val="00BD7138"/>
    <w:rsid w:val="00BE09EC"/>
    <w:rsid w:val="00BE111F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19A"/>
    <w:rsid w:val="00C303C9"/>
    <w:rsid w:val="00C3194D"/>
    <w:rsid w:val="00C33476"/>
    <w:rsid w:val="00C37948"/>
    <w:rsid w:val="00C42149"/>
    <w:rsid w:val="00C51F80"/>
    <w:rsid w:val="00C5407A"/>
    <w:rsid w:val="00C54931"/>
    <w:rsid w:val="00C564F8"/>
    <w:rsid w:val="00C56A12"/>
    <w:rsid w:val="00C56FA5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348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7490"/>
    <w:rsid w:val="00D80B0D"/>
    <w:rsid w:val="00D85EFF"/>
    <w:rsid w:val="00D860A3"/>
    <w:rsid w:val="00DA1FEB"/>
    <w:rsid w:val="00DA2ABF"/>
    <w:rsid w:val="00DA4824"/>
    <w:rsid w:val="00DA4F33"/>
    <w:rsid w:val="00DA7D14"/>
    <w:rsid w:val="00DB5AF4"/>
    <w:rsid w:val="00DB720B"/>
    <w:rsid w:val="00DC3679"/>
    <w:rsid w:val="00DC6FAB"/>
    <w:rsid w:val="00DC7B79"/>
    <w:rsid w:val="00DD030A"/>
    <w:rsid w:val="00DD1CB1"/>
    <w:rsid w:val="00DD1FFB"/>
    <w:rsid w:val="00DE608E"/>
    <w:rsid w:val="00DF468A"/>
    <w:rsid w:val="00DF5560"/>
    <w:rsid w:val="00DF5E83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20A"/>
    <w:rsid w:val="00E41B40"/>
    <w:rsid w:val="00E42B92"/>
    <w:rsid w:val="00E53844"/>
    <w:rsid w:val="00E545F1"/>
    <w:rsid w:val="00E55F42"/>
    <w:rsid w:val="00E56E8B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0265"/>
    <w:rsid w:val="00EC1224"/>
    <w:rsid w:val="00EC52C0"/>
    <w:rsid w:val="00EC7290"/>
    <w:rsid w:val="00ED30A1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1299"/>
    <w:rsid w:val="00F262EA"/>
    <w:rsid w:val="00F32F51"/>
    <w:rsid w:val="00F3574B"/>
    <w:rsid w:val="00F4130B"/>
    <w:rsid w:val="00F417FD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DF5"/>
    <w:rsid w:val="00F93472"/>
    <w:rsid w:val="00FA0498"/>
    <w:rsid w:val="00FA450A"/>
    <w:rsid w:val="00FA53B2"/>
    <w:rsid w:val="00FA667C"/>
    <w:rsid w:val="00FA6B20"/>
    <w:rsid w:val="00FB2988"/>
    <w:rsid w:val="00FB4F0C"/>
    <w:rsid w:val="00FB6746"/>
    <w:rsid w:val="00FC41D5"/>
    <w:rsid w:val="00FC5F35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Tedtulo1">
    <w:name w:val="Tíedtulo 1"/>
    <w:basedOn w:val="Normal"/>
    <w:uiPriority w:val="99"/>
    <w:rsid w:val="00F2129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compilad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cef.org/brazil/convencao-sobre-os-direitos-da-crian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B58A-6D62-4794-824A-3307160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1179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4</cp:revision>
  <cp:lastPrinted>2020-01-22T12:04:00Z</cp:lastPrinted>
  <dcterms:created xsi:type="dcterms:W3CDTF">2024-02-19T18:23:00Z</dcterms:created>
  <dcterms:modified xsi:type="dcterms:W3CDTF">2024-02-19T18:47:00Z</dcterms:modified>
</cp:coreProperties>
</file>