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38FB" w14:textId="4B2262E0" w:rsidR="00E0752A" w:rsidRPr="009362E3" w:rsidRDefault="00E0752A" w:rsidP="00D31D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7"/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º</w:t>
      </w:r>
      <w:proofErr w:type="gramStart"/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End"/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72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o Lu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s,   </w:t>
      </w:r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22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de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F63DE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agosto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4823B0" w14:textId="77777777" w:rsidR="00670BA4" w:rsidRDefault="00670BA4" w:rsidP="00D31D3F">
      <w:pPr>
        <w:tabs>
          <w:tab w:val="right" w:pos="9065"/>
        </w:tabs>
        <w:ind w:right="-7"/>
        <w:rPr>
          <w:sz w:val="23"/>
          <w:szCs w:val="23"/>
        </w:rPr>
      </w:pPr>
    </w:p>
    <w:p w14:paraId="4D8824CA" w14:textId="59B25A8C" w:rsidR="0005118D" w:rsidRPr="002E0B12" w:rsidRDefault="00B9487F" w:rsidP="0077006A">
      <w:pPr>
        <w:tabs>
          <w:tab w:val="right" w:pos="9065"/>
        </w:tabs>
        <w:spacing w:before="120" w:after="120"/>
        <w:ind w:right="-6" w:firstLine="1418"/>
        <w:rPr>
          <w:i/>
          <w:iCs/>
          <w:color w:val="auto"/>
          <w:sz w:val="23"/>
          <w:szCs w:val="23"/>
        </w:rPr>
      </w:pPr>
      <w:r w:rsidRPr="002E0B12">
        <w:rPr>
          <w:i/>
          <w:iCs/>
          <w:color w:val="auto"/>
          <w:sz w:val="23"/>
          <w:szCs w:val="23"/>
        </w:rPr>
        <w:t>Senhora Presidente,</w:t>
      </w:r>
    </w:p>
    <w:p w14:paraId="012AB575" w14:textId="0E798E54" w:rsidR="001B7B48" w:rsidRPr="002E0B12" w:rsidRDefault="009362E3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 xml:space="preserve">Tenho a honra de submeter à deliberação dos Senhores Deputados e das Senhoras Deputadas </w:t>
      </w:r>
      <w:r w:rsidR="002E0B12" w:rsidRPr="002E0B12">
        <w:rPr>
          <w:color w:val="auto"/>
          <w:sz w:val="23"/>
          <w:szCs w:val="23"/>
          <w:lang w:val="pt-BR"/>
        </w:rPr>
        <w:t xml:space="preserve">a presente Medida Provisória </w:t>
      </w:r>
      <w:r w:rsidR="00814633" w:rsidRPr="002E0B12">
        <w:rPr>
          <w:color w:val="auto"/>
          <w:sz w:val="23"/>
          <w:szCs w:val="23"/>
          <w:lang w:val="pt-BR"/>
        </w:rPr>
        <w:t xml:space="preserve">que </w:t>
      </w:r>
      <w:r w:rsidR="001B7B48" w:rsidRPr="002E0B12">
        <w:rPr>
          <w:color w:val="auto"/>
          <w:sz w:val="23"/>
          <w:szCs w:val="23"/>
          <w:lang w:val="pt-BR"/>
        </w:rPr>
        <w:t>institui o Programa Estadual Educação de Verdade que garante o acesso, a permanência e a qualidade do ensino, combatendo a evasão escolar e promovendo o desenvolvimento integral dos estudantes nas escolas da rede pública estadual.</w:t>
      </w:r>
    </w:p>
    <w:p w14:paraId="4CF5CE3B" w14:textId="6B422EE1" w:rsidR="001B7B48" w:rsidRPr="002E0B12" w:rsidRDefault="001B7B48" w:rsidP="001B7B48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>O Programa será gerido pela Secretaria de Estado da Educação, em colaboração com outras Secretarias, com foco nos eixos estratégicos de transporte, refeição, tecnologia e inovação, saúde visual, bem como material didático nas escolas da rede pública estadual.</w:t>
      </w:r>
    </w:p>
    <w:p w14:paraId="70CB0753" w14:textId="12C97121" w:rsidR="001B7B48" w:rsidRPr="002E0B12" w:rsidRDefault="001B7B48" w:rsidP="001B7B48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>Com referidas medidas será atendida demanda específica visando assegurar que o serviço público de educação atenda com precisão às necessidades individuais dos alunos, no que tange à necessidade de inclusão tecnológica, acesso a material didático de qualidade, incluindo distribuição de óculos e fornecimento de transporte e refeição, garantindo melhoria nos índices de educação no Estado do Maranhão.</w:t>
      </w:r>
    </w:p>
    <w:p w14:paraId="2125FB3D" w14:textId="77777777" w:rsidR="00814633" w:rsidRPr="002E0B12" w:rsidRDefault="00814633" w:rsidP="009362E3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>A criação do Programa alinha-se ao princípio da eficiência administrativa, previsto no art. 37, caput, da Constituição Federal, ao estabelecer eixos estratégicos voltados para transporte, refeição, tecnologia e inovação, saúde visual e fornecimento de material didático nas escolas da rede pública estadual. Essas medidas visam atender de forma precisa às necessidades dos alunos, otimizando a aplicação dos recursos públicos e potencializando os resultados educacionais, com reflexos diretos na melhoria dos índices de ensino no Estado do Maranhão.</w:t>
      </w:r>
    </w:p>
    <w:p w14:paraId="5AA6FAE0" w14:textId="77777777" w:rsidR="002E0B12" w:rsidRPr="002E0B12" w:rsidRDefault="002E0B12" w:rsidP="002E0B12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>Nesse sentido, a relevância e urgência da matéria tratada na Medida Provisória em epígrafe, justifica-se de forma a permitir a implementação imediata da política pública, visando atender com brevidade a população discente.</w:t>
      </w:r>
    </w:p>
    <w:p w14:paraId="02D0ECCA" w14:textId="57BFA151" w:rsidR="002E0B12" w:rsidRPr="002E0B12" w:rsidRDefault="002E0B12" w:rsidP="002E0B12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16970FC7" w14:textId="3CF8DFEE" w:rsidR="009362E3" w:rsidRPr="002E0B12" w:rsidRDefault="009362E3" w:rsidP="009362E3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 xml:space="preserve">Com estes argumentos que considero suficientes para justificar </w:t>
      </w:r>
      <w:r w:rsidR="00AD2E2A">
        <w:rPr>
          <w:color w:val="auto"/>
          <w:sz w:val="23"/>
          <w:szCs w:val="23"/>
        </w:rPr>
        <w:t xml:space="preserve">a Medida Provisória </w:t>
      </w:r>
      <w:r w:rsidRPr="002E0B12">
        <w:rPr>
          <w:color w:val="auto"/>
          <w:sz w:val="23"/>
          <w:szCs w:val="23"/>
        </w:rPr>
        <w:t>em apreço, minha expectativa é de que o Digno Parlamento Maranhense lhe dê boa acolhida.</w:t>
      </w:r>
    </w:p>
    <w:p w14:paraId="3C4500F0" w14:textId="77777777" w:rsidR="009362E3" w:rsidRPr="002E0B12" w:rsidRDefault="009362E3" w:rsidP="009362E3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Aproveito o ensejo para reiterar a Vossa Excelência e aos seus ilustres pares os meus elevados protestos de apreço e consideração.</w:t>
      </w:r>
    </w:p>
    <w:p w14:paraId="7B9B66A1" w14:textId="77777777" w:rsidR="009362E3" w:rsidRPr="002E0B12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13BD258D" w14:textId="77777777" w:rsidR="009362E3" w:rsidRPr="002E0B12" w:rsidRDefault="009362E3" w:rsidP="009362E3">
      <w:pPr>
        <w:tabs>
          <w:tab w:val="right" w:pos="9072"/>
        </w:tabs>
        <w:ind w:right="-7" w:firstLine="1418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Atenciosamente,</w:t>
      </w:r>
    </w:p>
    <w:p w14:paraId="5A565DD3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3E5A4C0F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29249E36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CARLOS BRANDÃO</w:t>
      </w:r>
    </w:p>
    <w:p w14:paraId="7CD65162" w14:textId="77777777" w:rsidR="009362E3" w:rsidRPr="002E0B12" w:rsidRDefault="009362E3" w:rsidP="009362E3">
      <w:pPr>
        <w:tabs>
          <w:tab w:val="right" w:pos="9065"/>
        </w:tabs>
        <w:ind w:right="-7"/>
        <w:jc w:val="center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Governador do Estado do Maranhão</w:t>
      </w:r>
    </w:p>
    <w:p w14:paraId="43F09D73" w14:textId="77777777" w:rsidR="0099061A" w:rsidRPr="002E0B12" w:rsidRDefault="0099061A" w:rsidP="009362E3">
      <w:pPr>
        <w:ind w:right="-7"/>
        <w:jc w:val="both"/>
        <w:rPr>
          <w:color w:val="auto"/>
          <w:sz w:val="23"/>
          <w:szCs w:val="23"/>
        </w:rPr>
      </w:pPr>
    </w:p>
    <w:p w14:paraId="3C96A80A" w14:textId="1776CF04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A Sua Excelência a Senhora</w:t>
      </w:r>
    </w:p>
    <w:p w14:paraId="7AB9522F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Deputada Estadual IRACEMA VALE</w:t>
      </w:r>
    </w:p>
    <w:p w14:paraId="3292CB03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Presidente da Assembleia Legislativa do Estado do Maranhão</w:t>
      </w:r>
    </w:p>
    <w:p w14:paraId="44830855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Palácio Manuel Beckman</w:t>
      </w:r>
    </w:p>
    <w:p w14:paraId="71E38156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Local</w:t>
      </w:r>
    </w:p>
    <w:p w14:paraId="3FE5C5FD" w14:textId="77777777" w:rsidR="009362E3" w:rsidRPr="00027165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6921620F" w14:textId="137C2061" w:rsidR="002E0B12" w:rsidRPr="009E7073" w:rsidRDefault="002E0B12" w:rsidP="009E7073">
      <w:pPr>
        <w:ind w:right="-7"/>
        <w:jc w:val="center"/>
        <w:rPr>
          <w:b/>
          <w:szCs w:val="28"/>
        </w:rPr>
      </w:pPr>
      <w:r w:rsidRPr="009E7073">
        <w:rPr>
          <w:b/>
          <w:szCs w:val="26"/>
        </w:rPr>
        <w:lastRenderedPageBreak/>
        <w:t xml:space="preserve">MEDIDA PROVISÓRIA Nº </w:t>
      </w:r>
      <w:r w:rsidR="009E7073">
        <w:rPr>
          <w:b/>
          <w:szCs w:val="26"/>
        </w:rPr>
        <w:t>502, DE 22</w:t>
      </w:r>
      <w:r w:rsidRPr="009E7073">
        <w:rPr>
          <w:b/>
          <w:szCs w:val="26"/>
        </w:rPr>
        <w:t>, DE</w:t>
      </w:r>
      <w:r w:rsidR="009E7073">
        <w:rPr>
          <w:b/>
          <w:szCs w:val="26"/>
        </w:rPr>
        <w:t xml:space="preserve"> AGOSTO</w:t>
      </w:r>
      <w:r w:rsidRPr="009E7073">
        <w:rPr>
          <w:b/>
          <w:szCs w:val="26"/>
        </w:rPr>
        <w:t xml:space="preserve"> DE 2025.</w:t>
      </w:r>
    </w:p>
    <w:p w14:paraId="41271025" w14:textId="77777777" w:rsidR="004D64CA" w:rsidRDefault="004D64CA" w:rsidP="00D31D3F">
      <w:pPr>
        <w:ind w:right="-7"/>
        <w:rPr>
          <w:sz w:val="28"/>
          <w:szCs w:val="28"/>
        </w:rPr>
      </w:pPr>
    </w:p>
    <w:p w14:paraId="479DA4E2" w14:textId="77777777" w:rsidR="002E0B12" w:rsidRPr="003B444F" w:rsidRDefault="002E0B12" w:rsidP="00D31D3F">
      <w:pPr>
        <w:ind w:right="-7"/>
        <w:rPr>
          <w:sz w:val="28"/>
          <w:szCs w:val="28"/>
        </w:rPr>
      </w:pPr>
    </w:p>
    <w:p w14:paraId="7B101259" w14:textId="724D9075" w:rsidR="00DE1700" w:rsidRDefault="00F768CF" w:rsidP="00D31D3F">
      <w:pPr>
        <w:ind w:left="5670" w:right="-7"/>
        <w:jc w:val="both"/>
      </w:pPr>
      <w:r w:rsidRPr="00F768CF">
        <w:t>Institui o Programa Estadual Educação de Verdade na rede pública estadual.</w:t>
      </w:r>
    </w:p>
    <w:p w14:paraId="47179DBE" w14:textId="77777777" w:rsidR="00DE1700" w:rsidRDefault="00DE1700" w:rsidP="00DE1700">
      <w:pPr>
        <w:ind w:right="-7"/>
        <w:jc w:val="both"/>
      </w:pPr>
    </w:p>
    <w:p w14:paraId="6A963CF2" w14:textId="7CEDE98B" w:rsidR="002E0B12" w:rsidRPr="002E0B12" w:rsidRDefault="002E0B1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0B12">
        <w:rPr>
          <w:rFonts w:ascii="Times New Roman" w:eastAsia="Times New Roman" w:hAnsi="Times New Roman" w:cs="Times New Roman"/>
          <w:b/>
          <w:sz w:val="24"/>
          <w:szCs w:val="24"/>
        </w:rPr>
        <w:t>O GOVERNADOR DO ESTADO DO MARANHÃO</w:t>
      </w:r>
      <w:r w:rsidRPr="002E0B12">
        <w:rPr>
          <w:rFonts w:ascii="Times New Roman" w:eastAsia="Times New Roman" w:hAnsi="Times New Roman" w:cs="Times New Roman"/>
          <w:bCs/>
          <w:sz w:val="24"/>
          <w:szCs w:val="24"/>
        </w:rPr>
        <w:t>, no uso da atribuição que lhe confere o § 1</w:t>
      </w:r>
      <w:r w:rsidR="001A5C42">
        <w:rPr>
          <w:rFonts w:ascii="Times New Roman" w:eastAsia="Times New Roman" w:hAnsi="Times New Roman" w:cs="Times New Roman"/>
          <w:bCs/>
          <w:sz w:val="24"/>
          <w:szCs w:val="24"/>
        </w:rPr>
        <w:t>º</w:t>
      </w:r>
      <w:r w:rsidRPr="002E0B1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art. 42 da Constituição Estadual, adota a seguinte Medida Provisória, com força de lei:</w:t>
      </w:r>
    </w:p>
    <w:p w14:paraId="5B4CF754" w14:textId="65C2507A" w:rsidR="00222709" w:rsidRDefault="00736965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709" w:rsidRPr="00222709">
        <w:rPr>
          <w:rFonts w:ascii="Times New Roman" w:eastAsia="Times New Roman" w:hAnsi="Times New Roman" w:cs="Times New Roman"/>
          <w:sz w:val="24"/>
          <w:szCs w:val="24"/>
        </w:rPr>
        <w:t>Fica instituído o Programa Estadual Educação de Verdade no âmbito do Estado do Maranhão, com o objetivo de fortalecer a educação básica na rede pública estadual, por meio de ações que garantam o acesso, a permanência e a qualidade do ensino, combatendo a evasão escolar e promovendo o desenvolvimento integral dos estudantes.</w:t>
      </w:r>
    </w:p>
    <w:p w14:paraId="6C2E53F3" w14:textId="77777777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2º 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>O Programa Estadual Educação de Verdade será gerido pela Secretaria de Estado da Educação, em colaboração com outras Secretarias de Estado e órgãos do Poder Executivo Estadual, com foco nos seguintes eixos estratégicos:</w:t>
      </w:r>
    </w:p>
    <w:p w14:paraId="460A7ECC" w14:textId="2A9E4B83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transporte escolar;</w:t>
      </w:r>
    </w:p>
    <w:p w14:paraId="5D49EC42" w14:textId="5BB475D0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refeição escolar;</w:t>
      </w:r>
    </w:p>
    <w:p w14:paraId="7C6CBDD0" w14:textId="00865134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tecnologia e inovação;</w:t>
      </w:r>
    </w:p>
    <w:p w14:paraId="79D0F73A" w14:textId="1FBF0AFE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saúde visual;</w:t>
      </w:r>
    </w:p>
    <w:p w14:paraId="353E0904" w14:textId="0CF6317F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material didático e pedagógico.</w:t>
      </w:r>
    </w:p>
    <w:p w14:paraId="5B6E1417" w14:textId="4B414EB3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3º 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Para a consecução dos objetivos do Programa Estadual Educação de Verdade, serão implementadas as seguintes ações estratégicas vinculadas aos eixos dispostos no art. 2º desta </w:t>
      </w:r>
      <w:r w:rsidR="00BB201B">
        <w:rPr>
          <w:rFonts w:ascii="Times New Roman" w:eastAsia="Times New Roman" w:hAnsi="Times New Roman" w:cs="Times New Roman"/>
          <w:sz w:val="24"/>
          <w:szCs w:val="24"/>
        </w:rPr>
        <w:t>Medida Provisória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C530F" w14:textId="5447A411" w:rsidR="00222709" w:rsidRP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>§1</w:t>
      </w:r>
      <w:r w:rsidR="00FC1133" w:rsidRPr="00FC1133">
        <w:rPr>
          <w:rFonts w:ascii="Times New Roman" w:eastAsia="Times New Roman" w:hAnsi="Times New Roman" w:cs="Times New Roman"/>
          <w:sz w:val="24"/>
          <w:szCs w:val="24"/>
        </w:rPr>
        <w:t>º No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eixo transporte escolar serão adotadas as seguintes atividades: </w:t>
      </w:r>
    </w:p>
    <w:p w14:paraId="7D9B234A" w14:textId="0C04EC3B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aquisição, manutenção e renovação da frota de veículos escolares; </w:t>
      </w:r>
    </w:p>
    <w:p w14:paraId="43A5BA9B" w14:textId="4E257547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celebração de Termos de Adesão e/ou Convênios com os municípios para a gestão conjunta do transporte escolar, com repasse de recursos financeiros;</w:t>
      </w:r>
    </w:p>
    <w:p w14:paraId="58FCE863" w14:textId="3A2BAFEB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fiscalização rigorosa das condições de segurança dos veículos e da regularidade dos serviços prestados.</w:t>
      </w:r>
    </w:p>
    <w:p w14:paraId="532C1677" w14:textId="77777777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lastRenderedPageBreak/>
        <w:t>§2</w:t>
      </w:r>
      <w:r w:rsidR="00FC1133" w:rsidRPr="00FC1133">
        <w:rPr>
          <w:rFonts w:ascii="Times New Roman" w:eastAsia="Times New Roman" w:hAnsi="Times New Roman" w:cs="Times New Roman"/>
          <w:sz w:val="24"/>
          <w:szCs w:val="24"/>
        </w:rPr>
        <w:t>º No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 eixo refeição escolar serão adotadas as seguintes atividades:</w:t>
      </w:r>
    </w:p>
    <w:p w14:paraId="7D484B6E" w14:textId="0AB4AAD4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aprimoramento do Programa Nacional de Alimentação Escolar (PNAE) no âmbito estadual, com suplementação de recursos; </w:t>
      </w:r>
    </w:p>
    <w:p w14:paraId="326B4AA8" w14:textId="296A838B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incentivo à agricultura familiar para o fornecimento de gêneros alimentícios, priorizando a compra de produtores locais;</w:t>
      </w:r>
    </w:p>
    <w:p w14:paraId="44285526" w14:textId="3D6CD9DE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capacitação contínua de merendeiras e nutricionistas para a elaboração de cardápios saudáveis e equilibrados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860D66" w14:textId="64C1AE92" w:rsidR="001A5C42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g</w:t>
      </w:r>
      <w:r w:rsidRPr="001A5C42">
        <w:rPr>
          <w:rFonts w:ascii="Times New Roman" w:eastAsia="Times New Roman" w:hAnsi="Times New Roman" w:cs="Times New Roman"/>
          <w:sz w:val="24"/>
          <w:szCs w:val="24"/>
        </w:rPr>
        <w:t xml:space="preserve">arantia </w:t>
      </w:r>
      <w:proofErr w:type="gramStart"/>
      <w:r w:rsidRPr="001A5C42">
        <w:rPr>
          <w:rFonts w:ascii="Times New Roman" w:eastAsia="Times New Roman" w:hAnsi="Times New Roman" w:cs="Times New Roman"/>
          <w:sz w:val="24"/>
          <w:szCs w:val="24"/>
        </w:rPr>
        <w:t>da segurança alimentar</w:t>
      </w:r>
      <w:proofErr w:type="gramEnd"/>
      <w:r w:rsidRPr="001A5C42">
        <w:rPr>
          <w:rFonts w:ascii="Times New Roman" w:eastAsia="Times New Roman" w:hAnsi="Times New Roman" w:cs="Times New Roman"/>
          <w:sz w:val="24"/>
          <w:szCs w:val="24"/>
        </w:rPr>
        <w:t xml:space="preserve"> e nutricional, previstas pelo Programa Nacional de Alimentação Escolar – PNAE e demais normas correlatas, por meio da doação de gêneros alimentícios durante os períodos de recesso e férias escolares.</w:t>
      </w:r>
    </w:p>
    <w:p w14:paraId="1FC37996" w14:textId="283F423D" w:rsidR="00FC1133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sz w:val="24"/>
          <w:szCs w:val="24"/>
        </w:rPr>
        <w:t>§3º</w:t>
      </w:r>
      <w:r w:rsidR="001A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>No eixo tecnologia e inovação serão adotadas as seguintes atividades:</w:t>
      </w:r>
    </w:p>
    <w:p w14:paraId="7E9B9D05" w14:textId="50B22262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distribuição de tablets, por meio de </w:t>
      </w:r>
      <w:r w:rsidR="007B2E5F">
        <w:rPr>
          <w:rFonts w:ascii="Times New Roman" w:eastAsia="Times New Roman" w:hAnsi="Times New Roman" w:cs="Times New Roman"/>
          <w:sz w:val="24"/>
          <w:szCs w:val="24"/>
        </w:rPr>
        <w:t>doação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, a serem entregues para os alunos do ensino médio, prioritariamente;</w:t>
      </w:r>
    </w:p>
    <w:p w14:paraId="5D44FAA2" w14:textId="68F0D72E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distribuição de notebooks, por meio de </w:t>
      </w:r>
      <w:r w:rsidR="007B2E5F">
        <w:rPr>
          <w:rFonts w:ascii="Times New Roman" w:eastAsia="Times New Roman" w:hAnsi="Times New Roman" w:cs="Times New Roman"/>
          <w:sz w:val="24"/>
          <w:szCs w:val="24"/>
        </w:rPr>
        <w:t>doação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, a serem entregues para os professores da rede pública estadual, propiciando </w:t>
      </w:r>
      <w:proofErr w:type="gramStart"/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implementação</w:t>
      </w:r>
      <w:proofErr w:type="gramEnd"/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 xml:space="preserve"> de plataformas digitais de ensino e acesso a conteúdos pedagógicos, com oferta de treinamento para o uso de tecnologias educacionais em sala de aula.</w:t>
      </w:r>
    </w:p>
    <w:p w14:paraId="0793DBC8" w14:textId="1E30CBED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§4º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No eixo saúde visual serão adotadas as seguintes atividades:</w:t>
      </w:r>
    </w:p>
    <w:p w14:paraId="4E6345B2" w14:textId="13763FBE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realização de mutirões de avaliação oftalmológica em escolas da rede pública;</w:t>
      </w:r>
    </w:p>
    <w:p w14:paraId="5175A6CA" w14:textId="198F2AB3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produção e distribuição gratuita de óculos de grau para estudantes com deficiência visual detectada;</w:t>
      </w:r>
    </w:p>
    <w:p w14:paraId="7F97B8A6" w14:textId="37C6E1D6" w:rsid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campanhas de conscientização sobre a importância da saúde visual para o aprendizado.</w:t>
      </w:r>
    </w:p>
    <w:p w14:paraId="57F8E27C" w14:textId="5686CE1E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§5º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No eixo material didático e pedagógico serão adotadas as seguintes atividades:</w:t>
      </w:r>
    </w:p>
    <w:p w14:paraId="0215854B" w14:textId="04174A0D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distribuição de kits de material escolar completo no início de cada ano letivo, incluindo cadernos, lápis, canetas e outros itens essenciais;</w:t>
      </w:r>
    </w:p>
    <w:p w14:paraId="0EA74459" w14:textId="3211FAA6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fornecimento de uniformes escolares completos (camisa, calça/saia) para todos os alunos;</w:t>
      </w:r>
    </w:p>
    <w:p w14:paraId="41F5C35B" w14:textId="7C0E78B3" w:rsidR="00222709" w:rsidRPr="00FC1133" w:rsidRDefault="001A5C42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– </w:t>
      </w:r>
      <w:r w:rsidR="00222709" w:rsidRPr="00FC1133">
        <w:rPr>
          <w:rFonts w:ascii="Times New Roman" w:eastAsia="Times New Roman" w:hAnsi="Times New Roman" w:cs="Times New Roman"/>
          <w:sz w:val="24"/>
          <w:szCs w:val="24"/>
        </w:rPr>
        <w:t>entrega de kits de material esportivo para as escolas, com bolas, redes e outros equipamentos para a prática de atividades físicas e recreativas.</w:t>
      </w:r>
    </w:p>
    <w:p w14:paraId="7460D414" w14:textId="79D090B8" w:rsidR="00222709" w:rsidRPr="00222709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709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222709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execução desta </w:t>
      </w:r>
      <w:r w:rsidR="00BB201B">
        <w:rPr>
          <w:rFonts w:ascii="Times New Roman" w:eastAsia="Times New Roman" w:hAnsi="Times New Roman" w:cs="Times New Roman"/>
          <w:sz w:val="24"/>
          <w:szCs w:val="24"/>
        </w:rPr>
        <w:t xml:space="preserve">Medida Provisória </w:t>
      </w:r>
      <w:r w:rsidRPr="00222709">
        <w:rPr>
          <w:rFonts w:ascii="Times New Roman" w:eastAsia="Times New Roman" w:hAnsi="Times New Roman" w:cs="Times New Roman"/>
          <w:sz w:val="24"/>
          <w:szCs w:val="24"/>
        </w:rPr>
        <w:t>correrão à conta de dotações orçamentárias previstas no orçamento do Estado, podendo ser suplementadas, se necessário.</w:t>
      </w:r>
    </w:p>
    <w:p w14:paraId="57644F00" w14:textId="748965DB" w:rsidR="00222709" w:rsidRPr="00222709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2709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222709">
        <w:rPr>
          <w:rFonts w:ascii="Times New Roman" w:eastAsia="Times New Roman" w:hAnsi="Times New Roman" w:cs="Times New Roman"/>
          <w:bCs/>
          <w:sz w:val="24"/>
          <w:szCs w:val="24"/>
        </w:rPr>
        <w:t xml:space="preserve"> Fica o Poder Executivo autorizado a firmar Convênios, Acordos e Termos de Adesão ou de Cooperação com municípios, organizações não-governamentais e instituições privadas para a efetivação do Programa Estadual Educação de Verdade.</w:t>
      </w:r>
    </w:p>
    <w:p w14:paraId="31877E39" w14:textId="4094119D" w:rsidR="00222709" w:rsidRPr="00222709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2709"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r w:rsidR="001A5C4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22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2709">
        <w:rPr>
          <w:rFonts w:ascii="Times New Roman" w:eastAsia="Times New Roman" w:hAnsi="Times New Roman" w:cs="Times New Roman"/>
          <w:bCs/>
          <w:sz w:val="24"/>
          <w:szCs w:val="24"/>
        </w:rPr>
        <w:t xml:space="preserve">O Poder Executivo regulamentará as ações dispostas nos eixos mencionados nesta </w:t>
      </w:r>
      <w:r w:rsidR="00BB201B">
        <w:rPr>
          <w:rFonts w:ascii="Times New Roman" w:eastAsia="Times New Roman" w:hAnsi="Times New Roman" w:cs="Times New Roman"/>
          <w:bCs/>
          <w:sz w:val="24"/>
          <w:szCs w:val="24"/>
        </w:rPr>
        <w:t>Medida Provisória</w:t>
      </w:r>
      <w:r w:rsidRPr="0022270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0B24B6" w14:textId="51B20C10" w:rsidR="00DE1700" w:rsidRPr="00A74EB1" w:rsidRDefault="00A42EE8" w:rsidP="006F1AA0">
      <w:pPr>
        <w:pStyle w:val="LO-normal"/>
        <w:spacing w:before="240" w:after="24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EB1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2270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A5C4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A74E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5515" w:rsidRPr="00BC5515">
        <w:rPr>
          <w:rFonts w:ascii="Times New Roman" w:hAnsi="Times New Roman" w:cs="Times New Roman"/>
          <w:sz w:val="24"/>
          <w:szCs w:val="24"/>
        </w:rPr>
        <w:t>Esta Medida Provisória entra em vigor na data de sua publicação</w:t>
      </w:r>
      <w:r w:rsidR="00DE1700" w:rsidRPr="00A74EB1">
        <w:rPr>
          <w:rFonts w:ascii="Times New Roman" w:hAnsi="Times New Roman" w:cs="Times New Roman"/>
          <w:sz w:val="24"/>
          <w:szCs w:val="24"/>
        </w:rPr>
        <w:t>.</w:t>
      </w:r>
    </w:p>
    <w:p w14:paraId="4715BC42" w14:textId="77068659" w:rsidR="0075408F" w:rsidRPr="003B444F" w:rsidRDefault="0075408F" w:rsidP="00F252FD">
      <w:pPr>
        <w:spacing w:before="160"/>
        <w:ind w:right="-7" w:firstLine="1418"/>
      </w:pPr>
      <w:r w:rsidRPr="003B444F">
        <w:t>PALÁCIO DO GOVERNO DO ESTADO DO MARANHÃO, EM SÃO LUÍS,</w:t>
      </w:r>
      <w:r w:rsidR="00F252FD">
        <w:t xml:space="preserve"> 22 </w:t>
      </w:r>
      <w:r w:rsidRPr="003B444F">
        <w:t>DE</w:t>
      </w:r>
      <w:r w:rsidR="00F252FD">
        <w:t xml:space="preserve"> AGOSTO </w:t>
      </w:r>
      <w:bookmarkStart w:id="0" w:name="_GoBack"/>
      <w:bookmarkEnd w:id="0"/>
      <w:r w:rsidRPr="003B444F">
        <w:t>DE 202</w:t>
      </w:r>
      <w:r w:rsidR="00DE1700">
        <w:t>5</w:t>
      </w:r>
      <w:r w:rsidRPr="003B444F">
        <w:t>, 20</w:t>
      </w:r>
      <w:r w:rsidR="00DE1700">
        <w:t>4</w:t>
      </w:r>
      <w:r w:rsidRPr="003B444F">
        <w:t>º DA INDEPENDÊNCIA E 13</w:t>
      </w:r>
      <w:r w:rsidR="00DE1700">
        <w:t>7</w:t>
      </w:r>
      <w:r w:rsidRPr="003B444F">
        <w:t>º DA REPÚBLICA.</w:t>
      </w:r>
    </w:p>
    <w:p w14:paraId="3B0F7F41" w14:textId="0637DF69" w:rsidR="0077670C" w:rsidRPr="003B444F" w:rsidRDefault="0077670C" w:rsidP="00D31D3F">
      <w:pPr>
        <w:tabs>
          <w:tab w:val="left" w:pos="1560"/>
        </w:tabs>
        <w:ind w:right="-7"/>
      </w:pPr>
    </w:p>
    <w:p w14:paraId="28826FED" w14:textId="42FD6D93" w:rsidR="00575D46" w:rsidRPr="003B444F" w:rsidRDefault="00575D46" w:rsidP="00D31D3F">
      <w:pPr>
        <w:tabs>
          <w:tab w:val="left" w:pos="1560"/>
        </w:tabs>
        <w:ind w:right="-7"/>
      </w:pPr>
    </w:p>
    <w:p w14:paraId="7EAF0924" w14:textId="576F61EA" w:rsidR="0075408F" w:rsidRPr="003B444F" w:rsidRDefault="0075408F" w:rsidP="00D31D3F">
      <w:pPr>
        <w:ind w:right="-7"/>
        <w:jc w:val="center"/>
      </w:pPr>
      <w:r w:rsidRPr="003B444F">
        <w:t xml:space="preserve">CARLOS BRANDÃO </w:t>
      </w:r>
    </w:p>
    <w:p w14:paraId="1BFEABC8" w14:textId="77777777" w:rsidR="0075408F" w:rsidRPr="003B444F" w:rsidRDefault="0075408F" w:rsidP="00D31D3F">
      <w:pPr>
        <w:ind w:right="-7"/>
        <w:jc w:val="center"/>
        <w:rPr>
          <w:caps/>
        </w:rPr>
      </w:pPr>
      <w:r w:rsidRPr="003B444F">
        <w:t>Governador do Estado do Maranhão</w:t>
      </w:r>
    </w:p>
    <w:p w14:paraId="1410DB52" w14:textId="00976969" w:rsidR="0075408F" w:rsidRPr="003B444F" w:rsidRDefault="0075408F" w:rsidP="00D31D3F">
      <w:pPr>
        <w:autoSpaceDE w:val="0"/>
        <w:autoSpaceDN w:val="0"/>
        <w:adjustRightInd w:val="0"/>
        <w:ind w:right="-7"/>
        <w:jc w:val="center"/>
      </w:pPr>
    </w:p>
    <w:p w14:paraId="40C37CF4" w14:textId="77777777" w:rsidR="0075408F" w:rsidRPr="003B444F" w:rsidRDefault="0075408F" w:rsidP="00D31D3F">
      <w:pPr>
        <w:ind w:right="-7"/>
        <w:jc w:val="center"/>
      </w:pPr>
      <w:r w:rsidRPr="003B444F">
        <w:t>SEBASTIÃO TORRES MADEIRA</w:t>
      </w:r>
    </w:p>
    <w:p w14:paraId="3D0BDD72" w14:textId="04EC5541" w:rsidR="0005118D" w:rsidRDefault="0075408F" w:rsidP="00D31D3F">
      <w:pPr>
        <w:ind w:right="-7"/>
        <w:jc w:val="center"/>
      </w:pPr>
      <w:r w:rsidRPr="003B444F">
        <w:t>Secretário-Chefe da Casa Civil</w:t>
      </w:r>
    </w:p>
    <w:sectPr w:rsidR="0005118D">
      <w:headerReference w:type="default" r:id="rId9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BFE8" w14:textId="77777777" w:rsidR="009E7073" w:rsidRDefault="009E7073">
      <w:r>
        <w:separator/>
      </w:r>
    </w:p>
  </w:endnote>
  <w:endnote w:type="continuationSeparator" w:id="0">
    <w:p w14:paraId="16E503B7" w14:textId="77777777" w:rsidR="009E7073" w:rsidRDefault="009E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FF3F7" w14:textId="77777777" w:rsidR="009E7073" w:rsidRDefault="009E7073">
      <w:r>
        <w:separator/>
      </w:r>
    </w:p>
  </w:footnote>
  <w:footnote w:type="continuationSeparator" w:id="0">
    <w:p w14:paraId="4715C590" w14:textId="77777777" w:rsidR="009E7073" w:rsidRDefault="009E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2357" w14:textId="77777777" w:rsidR="009E7073" w:rsidRDefault="009E7073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2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9E7073" w:rsidRDefault="009E7073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9E7073" w:rsidRPr="00E0752A" w:rsidRDefault="009E7073" w:rsidP="00E07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E46"/>
    <w:multiLevelType w:val="multilevel"/>
    <w:tmpl w:val="BB6A45B0"/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D"/>
    <w:rsid w:val="0001764E"/>
    <w:rsid w:val="00027165"/>
    <w:rsid w:val="000506DD"/>
    <w:rsid w:val="0005118D"/>
    <w:rsid w:val="000550E9"/>
    <w:rsid w:val="000A279F"/>
    <w:rsid w:val="000C2F9A"/>
    <w:rsid w:val="000E2188"/>
    <w:rsid w:val="000F6FF5"/>
    <w:rsid w:val="0012140A"/>
    <w:rsid w:val="0012413D"/>
    <w:rsid w:val="00133A7D"/>
    <w:rsid w:val="001A03A3"/>
    <w:rsid w:val="001A33A1"/>
    <w:rsid w:val="001A5C42"/>
    <w:rsid w:val="001B7B48"/>
    <w:rsid w:val="001C7026"/>
    <w:rsid w:val="001D4C50"/>
    <w:rsid w:val="001D7E10"/>
    <w:rsid w:val="001E3074"/>
    <w:rsid w:val="001F63DE"/>
    <w:rsid w:val="00222709"/>
    <w:rsid w:val="00234382"/>
    <w:rsid w:val="00246505"/>
    <w:rsid w:val="002560BF"/>
    <w:rsid w:val="00277EE3"/>
    <w:rsid w:val="002B3958"/>
    <w:rsid w:val="002D3563"/>
    <w:rsid w:val="002E0B12"/>
    <w:rsid w:val="002F7B45"/>
    <w:rsid w:val="00301CDD"/>
    <w:rsid w:val="00306CCA"/>
    <w:rsid w:val="00314199"/>
    <w:rsid w:val="00365F8C"/>
    <w:rsid w:val="003B444F"/>
    <w:rsid w:val="003B6ADC"/>
    <w:rsid w:val="003E6E9F"/>
    <w:rsid w:val="00464644"/>
    <w:rsid w:val="004B3D13"/>
    <w:rsid w:val="004D64CA"/>
    <w:rsid w:val="004E0F71"/>
    <w:rsid w:val="00505A96"/>
    <w:rsid w:val="005242CC"/>
    <w:rsid w:val="00530FF7"/>
    <w:rsid w:val="00543FDB"/>
    <w:rsid w:val="00575D46"/>
    <w:rsid w:val="00597F1E"/>
    <w:rsid w:val="005C6326"/>
    <w:rsid w:val="005D5D6F"/>
    <w:rsid w:val="005F0533"/>
    <w:rsid w:val="00615E88"/>
    <w:rsid w:val="0062337B"/>
    <w:rsid w:val="006462AC"/>
    <w:rsid w:val="006570D1"/>
    <w:rsid w:val="00661222"/>
    <w:rsid w:val="00670318"/>
    <w:rsid w:val="00670BA4"/>
    <w:rsid w:val="006719B9"/>
    <w:rsid w:val="006B4697"/>
    <w:rsid w:val="006E5510"/>
    <w:rsid w:val="006F0598"/>
    <w:rsid w:val="006F1AA0"/>
    <w:rsid w:val="00704937"/>
    <w:rsid w:val="00714C3C"/>
    <w:rsid w:val="00732DB5"/>
    <w:rsid w:val="00736965"/>
    <w:rsid w:val="00745421"/>
    <w:rsid w:val="0075408F"/>
    <w:rsid w:val="00766E08"/>
    <w:rsid w:val="0076731B"/>
    <w:rsid w:val="0077006A"/>
    <w:rsid w:val="0077670C"/>
    <w:rsid w:val="0079190F"/>
    <w:rsid w:val="00797802"/>
    <w:rsid w:val="007A07A3"/>
    <w:rsid w:val="007A7AC9"/>
    <w:rsid w:val="007B2E5F"/>
    <w:rsid w:val="007D31A3"/>
    <w:rsid w:val="007D53E8"/>
    <w:rsid w:val="007E4388"/>
    <w:rsid w:val="007F2D24"/>
    <w:rsid w:val="00814633"/>
    <w:rsid w:val="008561EF"/>
    <w:rsid w:val="00856414"/>
    <w:rsid w:val="008C6888"/>
    <w:rsid w:val="009362E3"/>
    <w:rsid w:val="009705DB"/>
    <w:rsid w:val="00970D42"/>
    <w:rsid w:val="00974BA9"/>
    <w:rsid w:val="0099061A"/>
    <w:rsid w:val="009B075A"/>
    <w:rsid w:val="009B0E16"/>
    <w:rsid w:val="009B754C"/>
    <w:rsid w:val="009E076E"/>
    <w:rsid w:val="009E63E4"/>
    <w:rsid w:val="009E7073"/>
    <w:rsid w:val="00A146DA"/>
    <w:rsid w:val="00A25CDF"/>
    <w:rsid w:val="00A42EE8"/>
    <w:rsid w:val="00A67740"/>
    <w:rsid w:val="00A74EB1"/>
    <w:rsid w:val="00A77605"/>
    <w:rsid w:val="00AA06A5"/>
    <w:rsid w:val="00AB0482"/>
    <w:rsid w:val="00AC5A02"/>
    <w:rsid w:val="00AD2E2A"/>
    <w:rsid w:val="00B408F4"/>
    <w:rsid w:val="00B53428"/>
    <w:rsid w:val="00B62969"/>
    <w:rsid w:val="00B9487F"/>
    <w:rsid w:val="00BB201B"/>
    <w:rsid w:val="00BB3778"/>
    <w:rsid w:val="00BC5515"/>
    <w:rsid w:val="00BD7503"/>
    <w:rsid w:val="00BE4A56"/>
    <w:rsid w:val="00BF35C6"/>
    <w:rsid w:val="00BF6E7A"/>
    <w:rsid w:val="00C02CF7"/>
    <w:rsid w:val="00C17D0C"/>
    <w:rsid w:val="00C33DE2"/>
    <w:rsid w:val="00C35456"/>
    <w:rsid w:val="00C42277"/>
    <w:rsid w:val="00C45204"/>
    <w:rsid w:val="00C5514E"/>
    <w:rsid w:val="00C6728D"/>
    <w:rsid w:val="00C75FDC"/>
    <w:rsid w:val="00C9746A"/>
    <w:rsid w:val="00CC5556"/>
    <w:rsid w:val="00D1576A"/>
    <w:rsid w:val="00D22B72"/>
    <w:rsid w:val="00D31D3F"/>
    <w:rsid w:val="00D42CAB"/>
    <w:rsid w:val="00D47F01"/>
    <w:rsid w:val="00D67C7D"/>
    <w:rsid w:val="00DA2AE1"/>
    <w:rsid w:val="00DA62CE"/>
    <w:rsid w:val="00DB2AF7"/>
    <w:rsid w:val="00DE1700"/>
    <w:rsid w:val="00DF6F0B"/>
    <w:rsid w:val="00E0752A"/>
    <w:rsid w:val="00E15481"/>
    <w:rsid w:val="00E252D1"/>
    <w:rsid w:val="00E4641C"/>
    <w:rsid w:val="00E74E34"/>
    <w:rsid w:val="00E76C07"/>
    <w:rsid w:val="00EA456B"/>
    <w:rsid w:val="00EA7D74"/>
    <w:rsid w:val="00EC1303"/>
    <w:rsid w:val="00EC3242"/>
    <w:rsid w:val="00F252FD"/>
    <w:rsid w:val="00F768CF"/>
    <w:rsid w:val="00F93693"/>
    <w:rsid w:val="00F9731D"/>
    <w:rsid w:val="00FA4F65"/>
    <w:rsid w:val="00FB1D01"/>
    <w:rsid w:val="00FC113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rsid w:val="002E0B12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rsid w:val="002E0B12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FFEC-D1F8-4C6B-99C6-3229F496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Julia Gadelha Marques da Silva</cp:lastModifiedBy>
  <cp:revision>3</cp:revision>
  <cp:lastPrinted>2025-02-06T14:42:00Z</cp:lastPrinted>
  <dcterms:created xsi:type="dcterms:W3CDTF">2025-08-25T17:37:00Z</dcterms:created>
  <dcterms:modified xsi:type="dcterms:W3CDTF">2025-08-25T18:26:00Z</dcterms:modified>
</cp:coreProperties>
</file>