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421A" w14:textId="77777777" w:rsidR="007A696C" w:rsidRDefault="00000000" w:rsidP="00D11B12">
      <w:pPr>
        <w:pStyle w:val="Corpodetexto"/>
        <w:spacing w:line="360" w:lineRule="auto"/>
        <w:ind w:left="3893"/>
        <w:rPr>
          <w:sz w:val="20"/>
        </w:rPr>
      </w:pPr>
      <w:bookmarkStart w:id="0" w:name="_Hlk207871613"/>
      <w:bookmarkEnd w:id="0"/>
      <w:r>
        <w:rPr>
          <w:noProof/>
          <w:sz w:val="20"/>
        </w:rPr>
        <w:drawing>
          <wp:inline distT="0" distB="0" distL="0" distR="0" wp14:anchorId="2F19D3C4" wp14:editId="0CDDE391">
            <wp:extent cx="822049" cy="9001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49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F97DD" w14:textId="77777777" w:rsidR="007A696C" w:rsidRDefault="00000000" w:rsidP="00D11B12">
      <w:pPr>
        <w:spacing w:before="20" w:line="360" w:lineRule="auto"/>
        <w:ind w:left="13" w:right="121"/>
        <w:jc w:val="center"/>
        <w:rPr>
          <w:b/>
          <w:sz w:val="24"/>
        </w:rPr>
      </w:pPr>
      <w:r>
        <w:rPr>
          <w:b/>
          <w:sz w:val="24"/>
        </w:rPr>
        <w:t>ASSEMBLEIA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LEGISLATIVA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MARANHÃO</w:t>
      </w:r>
    </w:p>
    <w:p w14:paraId="5081F0DF" w14:textId="77777777" w:rsidR="007A696C" w:rsidRDefault="00000000" w:rsidP="00D11B12">
      <w:pPr>
        <w:spacing w:line="360" w:lineRule="auto"/>
        <w:ind w:left="8" w:right="121"/>
        <w:jc w:val="center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 Deputado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Ricardo</w:t>
      </w:r>
      <w:r>
        <w:rPr>
          <w:b/>
          <w:spacing w:val="-2"/>
          <w:sz w:val="24"/>
        </w:rPr>
        <w:t xml:space="preserve"> Arruda</w:t>
      </w:r>
    </w:p>
    <w:p w14:paraId="240270F5" w14:textId="77777777" w:rsidR="007A696C" w:rsidRDefault="00000000" w:rsidP="00D11B12">
      <w:pPr>
        <w:pStyle w:val="Corpodetexto"/>
        <w:spacing w:before="11" w:line="360" w:lineRule="auto"/>
        <w:ind w:left="1565" w:right="1711"/>
        <w:jc w:val="center"/>
      </w:pPr>
      <w:r>
        <w:t>Avenida</w:t>
      </w:r>
      <w:r>
        <w:rPr>
          <w:spacing w:val="40"/>
        </w:rPr>
        <w:t xml:space="preserve"> </w:t>
      </w:r>
      <w:r>
        <w:t>Jerônimo</w:t>
      </w:r>
      <w:r>
        <w:rPr>
          <w:spacing w:val="3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Albuquerque, s/n, Sítio</w:t>
      </w:r>
      <w:r>
        <w:rPr>
          <w:spacing w:val="40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Rangedor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Cohafuma São</w:t>
      </w:r>
      <w:r>
        <w:rPr>
          <w:spacing w:val="40"/>
        </w:rPr>
        <w:t xml:space="preserve"> </w:t>
      </w:r>
      <w:r>
        <w:t>Luís –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CEP.</w:t>
      </w:r>
      <w:r>
        <w:rPr>
          <w:spacing w:val="40"/>
        </w:rPr>
        <w:t xml:space="preserve"> </w:t>
      </w:r>
      <w:r>
        <w:t>65.071-750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Tel. 3269-3249</w:t>
      </w:r>
    </w:p>
    <w:p w14:paraId="0CB42798" w14:textId="77777777" w:rsidR="007A696C" w:rsidRDefault="007A696C" w:rsidP="00D11B12">
      <w:pPr>
        <w:pStyle w:val="Corpodetexto"/>
        <w:spacing w:line="360" w:lineRule="auto"/>
      </w:pPr>
    </w:p>
    <w:p w14:paraId="765FBBB8" w14:textId="77777777" w:rsidR="007A696C" w:rsidRDefault="007A696C" w:rsidP="00D11B12">
      <w:pPr>
        <w:pStyle w:val="Corpodetexto"/>
        <w:spacing w:before="32" w:line="360" w:lineRule="auto"/>
      </w:pPr>
    </w:p>
    <w:p w14:paraId="51B18950" w14:textId="77777777" w:rsidR="007A696C" w:rsidRDefault="00000000" w:rsidP="00D11B12">
      <w:pPr>
        <w:tabs>
          <w:tab w:val="left" w:pos="6392"/>
        </w:tabs>
        <w:spacing w:line="360" w:lineRule="auto"/>
        <w:ind w:left="3074"/>
        <w:rPr>
          <w:b/>
          <w:sz w:val="25"/>
        </w:rPr>
      </w:pPr>
      <w:r>
        <w:rPr>
          <w:b/>
          <w:sz w:val="25"/>
        </w:rPr>
        <w:t>REQUERIMENTO</w:t>
      </w:r>
      <w:r>
        <w:rPr>
          <w:b/>
          <w:spacing w:val="51"/>
          <w:w w:val="150"/>
          <w:sz w:val="25"/>
        </w:rPr>
        <w:t xml:space="preserve"> </w:t>
      </w:r>
      <w:r>
        <w:rPr>
          <w:b/>
          <w:spacing w:val="-5"/>
          <w:sz w:val="25"/>
        </w:rPr>
        <w:t>Nº</w:t>
      </w:r>
      <w:r>
        <w:rPr>
          <w:b/>
          <w:sz w:val="25"/>
        </w:rPr>
        <w:tab/>
      </w:r>
      <w:r>
        <w:rPr>
          <w:b/>
          <w:spacing w:val="-4"/>
          <w:sz w:val="25"/>
        </w:rPr>
        <w:t>/2025</w:t>
      </w:r>
    </w:p>
    <w:p w14:paraId="22EDAB7D" w14:textId="77777777" w:rsidR="007A696C" w:rsidRDefault="007A696C" w:rsidP="00D11B12">
      <w:pPr>
        <w:pStyle w:val="Corpodetexto"/>
        <w:spacing w:line="360" w:lineRule="auto"/>
        <w:rPr>
          <w:b/>
          <w:sz w:val="25"/>
        </w:rPr>
      </w:pPr>
    </w:p>
    <w:p w14:paraId="3919840A" w14:textId="15D8C1F4" w:rsidR="007A696C" w:rsidRDefault="00000000" w:rsidP="00D11B12">
      <w:pPr>
        <w:spacing w:line="360" w:lineRule="auto"/>
        <w:ind w:left="1436"/>
        <w:rPr>
          <w:sz w:val="25"/>
        </w:rPr>
      </w:pPr>
      <w:r>
        <w:rPr>
          <w:sz w:val="25"/>
        </w:rPr>
        <w:t>Senhor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Presidente,</w:t>
      </w:r>
    </w:p>
    <w:p w14:paraId="22EB4A67" w14:textId="77777777" w:rsidR="007A696C" w:rsidRDefault="007A696C" w:rsidP="00D11B12">
      <w:pPr>
        <w:pStyle w:val="Corpodetexto"/>
        <w:spacing w:line="360" w:lineRule="auto"/>
        <w:rPr>
          <w:sz w:val="25"/>
        </w:rPr>
      </w:pPr>
    </w:p>
    <w:p w14:paraId="571356FE" w14:textId="77777777" w:rsidR="00D11B12" w:rsidRPr="003367A0" w:rsidRDefault="00D11B12" w:rsidP="00D11B12">
      <w:pPr>
        <w:spacing w:line="360" w:lineRule="auto"/>
        <w:jc w:val="both"/>
        <w:rPr>
          <w:rFonts w:ascii="Cambria" w:hAnsi="Cambria"/>
        </w:rPr>
      </w:pPr>
      <w:r w:rsidRPr="003367A0">
        <w:rPr>
          <w:rFonts w:ascii="Cambria" w:hAnsi="Cambria"/>
          <w:b/>
          <w:bCs/>
        </w:rPr>
        <w:t>Assunto:</w:t>
      </w:r>
      <w:r w:rsidRPr="003367A0">
        <w:rPr>
          <w:rFonts w:ascii="Cambria" w:hAnsi="Cambria"/>
        </w:rPr>
        <w:t xml:space="preserve"> Requer análise da aplicação de recursos do Fundeb </w:t>
      </w:r>
      <w:r>
        <w:rPr>
          <w:rFonts w:ascii="Cambria" w:hAnsi="Cambria"/>
        </w:rPr>
        <w:t>no</w:t>
      </w:r>
      <w:r w:rsidRPr="003367A0">
        <w:rPr>
          <w:rFonts w:ascii="Cambria" w:hAnsi="Cambria"/>
        </w:rPr>
        <w:t xml:space="preserve"> Município </w:t>
      </w:r>
      <w:r>
        <w:rPr>
          <w:rFonts w:ascii="Cambria" w:hAnsi="Cambria"/>
        </w:rPr>
        <w:t>de Grajaú.</w:t>
      </w:r>
      <w:r w:rsidRPr="003367A0">
        <w:rPr>
          <w:rFonts w:ascii="Cambria" w:hAnsi="Cambria"/>
        </w:rPr>
        <w:t xml:space="preserve"> </w:t>
      </w:r>
    </w:p>
    <w:p w14:paraId="1BFD4496" w14:textId="77777777" w:rsidR="00D11B12" w:rsidRDefault="00D11B12" w:rsidP="00D11B12">
      <w:pPr>
        <w:spacing w:line="360" w:lineRule="auto"/>
        <w:jc w:val="both"/>
        <w:rPr>
          <w:rFonts w:ascii="Cambria" w:hAnsi="Cambria"/>
        </w:rPr>
      </w:pPr>
    </w:p>
    <w:p w14:paraId="5E3D0110" w14:textId="4F9F6305" w:rsidR="00D11B12" w:rsidRPr="003367A0" w:rsidRDefault="00D11B12" w:rsidP="00D11B12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 – </w:t>
      </w:r>
      <w:r w:rsidRPr="003367A0">
        <w:rPr>
          <w:rFonts w:ascii="Cambria" w:hAnsi="Cambria"/>
          <w:b/>
          <w:bCs/>
        </w:rPr>
        <w:t>Dos Fatos</w:t>
      </w:r>
    </w:p>
    <w:p w14:paraId="7AA3B937" w14:textId="0A6CBCD5" w:rsidR="00D11B12" w:rsidRPr="004D26BD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>
        <w:rPr>
          <w:rFonts w:ascii="Tahoma" w:hAnsi="Tahoma" w:cs="Tahoma"/>
          <w:noProof/>
          <w:color w:val="1B1C1D"/>
          <w:lang w:eastAsia="pt-BR"/>
        </w:rPr>
        <w:drawing>
          <wp:anchor distT="0" distB="0" distL="114300" distR="114300" simplePos="0" relativeHeight="251658240" behindDoc="0" locked="0" layoutInCell="1" allowOverlap="1" wp14:anchorId="3ECDD501" wp14:editId="139B0B96">
            <wp:simplePos x="0" y="0"/>
            <wp:positionH relativeFrom="column">
              <wp:posOffset>34290</wp:posOffset>
            </wp:positionH>
            <wp:positionV relativeFrom="paragraph">
              <wp:posOffset>1962150</wp:posOffset>
            </wp:positionV>
            <wp:extent cx="5353176" cy="2040255"/>
            <wp:effectExtent l="0" t="0" r="0" b="0"/>
            <wp:wrapSquare wrapText="bothSides"/>
            <wp:docPr id="9790547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5472" name="Imagem 1" descr="Tabela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176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6BD">
        <w:rPr>
          <w:rFonts w:ascii="Cambria" w:hAnsi="Cambria"/>
          <w:color w:val="0D0D0D" w:themeColor="text1" w:themeTint="F2"/>
        </w:rPr>
        <w:t>Conforme dados extraídos do Portal da Transparência, no período de 15/05/2025 a 04/08/2025, a Prefeitura Municipal de Grajaú/MA efetuou pagamentos à empresa TESLA ENGENHARIA E CONSTRUÇÕES LTDA no montante total de R$ 5.187.805,06 (cinco milhões, cento e oitenta e sete mil, oitocentos e cinco reais e seis centavos). Os recursos são oriundos do FUNDEB. Verificou-se que tais pagamentos decorrem do Pregão nº 04/2025 (Processo Licitatório nº 20001002/2025), cujo objeto é a contratação de empresa para serviços contínuos de manutenção predial com base na tabela SINAPI/MA.</w:t>
      </w:r>
      <w:r>
        <w:rPr>
          <w:rFonts w:ascii="Cambria" w:hAnsi="Cambria"/>
          <w:color w:val="0D0D0D" w:themeColor="text1" w:themeTint="F2"/>
        </w:rPr>
        <w:t xml:space="preserve"> Veja:</w:t>
      </w:r>
      <w:r w:rsidRPr="00D11B12">
        <w:rPr>
          <w:rFonts w:ascii="Tahoma" w:hAnsi="Tahoma" w:cs="Tahoma"/>
          <w:noProof/>
          <w:color w:val="1B1C1D"/>
          <w:lang w:eastAsia="pt-BR"/>
        </w:rPr>
        <w:t xml:space="preserve"> </w:t>
      </w:r>
    </w:p>
    <w:p w14:paraId="76056997" w14:textId="77777777" w:rsidR="00D11B12" w:rsidRPr="004D26BD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 w:rsidRPr="004D26BD">
        <w:rPr>
          <w:rFonts w:ascii="Cambria" w:hAnsi="Cambria"/>
          <w:color w:val="0D0D0D" w:themeColor="text1" w:themeTint="F2"/>
        </w:rPr>
        <w:t xml:space="preserve">A sessão do pregão ocorreu em 04/04/2025 e, surpreendentemente, já em 15/05/2025 foi realizado pagamento de R$ 1.380.714,53, valor expressivo para tão curto intervalo entre adjudicação e liquidação da despesa. Para um pagamento dessa magnitude, </w:t>
      </w:r>
      <w:r w:rsidRPr="004D26BD">
        <w:rPr>
          <w:rFonts w:ascii="Cambria" w:hAnsi="Cambria"/>
          <w:color w:val="0D0D0D" w:themeColor="text1" w:themeTint="F2"/>
        </w:rPr>
        <w:lastRenderedPageBreak/>
        <w:t>seria necessária a execução de serviços compatíveis, medições, atesto do fiscal, pareceres técnicos e trâmites internos, o que se mostra improvável no prazo constatado.</w:t>
      </w:r>
    </w:p>
    <w:p w14:paraId="48B0B460" w14:textId="77777777" w:rsidR="00D11B12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 w:rsidRPr="004D26BD">
        <w:rPr>
          <w:rFonts w:ascii="Cambria" w:hAnsi="Cambria"/>
          <w:color w:val="0D0D0D" w:themeColor="text1" w:themeTint="F2"/>
        </w:rPr>
        <w:t xml:space="preserve">Visitas </w:t>
      </w:r>
      <w:r w:rsidRPr="004D26BD">
        <w:rPr>
          <w:rFonts w:ascii="Cambria" w:hAnsi="Cambria"/>
          <w:i/>
          <w:iCs/>
          <w:color w:val="0D0D0D" w:themeColor="text1" w:themeTint="F2"/>
        </w:rPr>
        <w:t>in loco</w:t>
      </w:r>
      <w:r w:rsidRPr="004D26BD">
        <w:rPr>
          <w:rFonts w:ascii="Cambria" w:hAnsi="Cambria"/>
          <w:color w:val="0D0D0D" w:themeColor="text1" w:themeTint="F2"/>
        </w:rPr>
        <w:t xml:space="preserve"> a todas as escolas municipais, com registro fotográfico georreferenciado, revelaram ausência de obras ou reformas que justificassem os valores pagos.</w:t>
      </w:r>
    </w:p>
    <w:p w14:paraId="3E049DB8" w14:textId="77777777" w:rsidR="00D11B12" w:rsidRPr="004D26BD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 w:rsidRPr="004D26BD">
        <w:rPr>
          <w:rFonts w:ascii="Cambria" w:hAnsi="Cambria"/>
          <w:color w:val="0D0D0D" w:themeColor="text1" w:themeTint="F2"/>
        </w:rPr>
        <w:t>A análise d</w:t>
      </w:r>
      <w:r>
        <w:rPr>
          <w:rFonts w:ascii="Cambria" w:hAnsi="Cambria"/>
          <w:color w:val="0D0D0D" w:themeColor="text1" w:themeTint="F2"/>
        </w:rPr>
        <w:t>o processo licitatório</w:t>
      </w:r>
      <w:r w:rsidRPr="004D26BD">
        <w:rPr>
          <w:rFonts w:ascii="Cambria" w:hAnsi="Cambria"/>
          <w:color w:val="0D0D0D" w:themeColor="text1" w:themeTint="F2"/>
        </w:rPr>
        <w:t xml:space="preserve"> aponta: (i) superdimensionamento do valor estimado (R$ 13 milhões, cerca de quatro vezes a média histórica de R$ 3 a 3,5 milhões); (ii) inabilitação em massa de concorrentes por exigências ilegais ou desproporcionais; (iii) adjudicação de proposta menos vantajosa (desconto de 16,11% frente a 17,12% do contrato anterior) sem negociação para redução de preço.</w:t>
      </w:r>
    </w:p>
    <w:p w14:paraId="52236353" w14:textId="77777777" w:rsidR="00D11B12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 w:rsidRPr="004D26BD">
        <w:rPr>
          <w:rFonts w:ascii="Cambria" w:hAnsi="Cambria"/>
          <w:color w:val="0D0D0D" w:themeColor="text1" w:themeTint="F2"/>
        </w:rPr>
        <w:t>As exigências desarrazoadas violam o art. 17, § 2º, da Lei nº 14.133/21 e a Súmula 289 do TCU, restringindo a competitividade e favorecendo a única empresa habilitada. Houve afronta aos princípios da legalidade, economicidade e isonomia.</w:t>
      </w:r>
    </w:p>
    <w:p w14:paraId="32A64BEF" w14:textId="77777777" w:rsidR="00D11B12" w:rsidRPr="004D26BD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 w:rsidRPr="004D26BD">
        <w:rPr>
          <w:rFonts w:ascii="Cambria" w:hAnsi="Cambria"/>
          <w:color w:val="0D0D0D" w:themeColor="text1" w:themeTint="F2"/>
        </w:rPr>
        <w:t>Pagamentos de R$ 5,18 milhões em apenas três meses (cerca de 40% do valor total do contrato) foram realizados sem comprovação de execução dos serviços, contrariando o art. 140 da Lei nº 14.133/2021. Relatórios fotográficos [inserir anexos] demonstram inexistência de obras.</w:t>
      </w:r>
    </w:p>
    <w:p w14:paraId="30BBCF11" w14:textId="77777777" w:rsidR="00D11B12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 w:rsidRPr="004D26BD">
        <w:rPr>
          <w:rFonts w:ascii="Cambria" w:hAnsi="Cambria"/>
          <w:color w:val="0D0D0D" w:themeColor="text1" w:themeTint="F2"/>
        </w:rPr>
        <w:t>Há indícios de que a TESLA é empresa de fachada, com sede administrativa incompatível com a capacidade técnica necessária para o objeto contratado.</w:t>
      </w:r>
    </w:p>
    <w:p w14:paraId="30037E57" w14:textId="77777777" w:rsidR="00D11B12" w:rsidRDefault="00D11B12" w:rsidP="00D11B12">
      <w:pPr>
        <w:spacing w:line="360" w:lineRule="auto"/>
        <w:ind w:firstLine="1418"/>
        <w:jc w:val="both"/>
        <w:rPr>
          <w:rFonts w:ascii="Cambria" w:hAnsi="Cambria"/>
          <w:color w:val="0D0D0D" w:themeColor="text1" w:themeTint="F2"/>
        </w:rPr>
      </w:pPr>
      <w:r w:rsidRPr="004D26BD">
        <w:rPr>
          <w:rFonts w:ascii="Cambria" w:hAnsi="Cambria"/>
          <w:color w:val="0D0D0D" w:themeColor="text1" w:themeTint="F2"/>
        </w:rPr>
        <w:t>O conjunto de condutas evidencia dolo: valor superestimado, eliminação de concorrentes, aceitação de proposta menos vantajosa e execução de ata integralmente sem demanda comprovada. O prejuízo é mensurável pela diferença de descontos e pelo sobrepreço.</w:t>
      </w:r>
    </w:p>
    <w:p w14:paraId="1112AE2B" w14:textId="77777777" w:rsidR="00D11B12" w:rsidRDefault="00D11B12" w:rsidP="00D11B12">
      <w:pPr>
        <w:spacing w:line="360" w:lineRule="auto"/>
        <w:ind w:firstLine="1418"/>
        <w:jc w:val="both"/>
        <w:rPr>
          <w:rFonts w:ascii="Cambria" w:hAnsi="Cambria"/>
          <w:b/>
          <w:bCs/>
        </w:rPr>
      </w:pPr>
    </w:p>
    <w:p w14:paraId="14B063F1" w14:textId="77777777" w:rsidR="00D11B12" w:rsidRPr="003367A0" w:rsidRDefault="00D11B12" w:rsidP="00D11B12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II – </w:t>
      </w:r>
      <w:r w:rsidRPr="003367A0">
        <w:rPr>
          <w:rFonts w:ascii="Cambria" w:hAnsi="Cambria"/>
          <w:b/>
          <w:bCs/>
        </w:rPr>
        <w:t>Da Competência da Comissão</w:t>
      </w:r>
    </w:p>
    <w:p w14:paraId="4DF6D07E" w14:textId="77777777" w:rsidR="00D11B12" w:rsidRPr="003367A0" w:rsidRDefault="00D11B12" w:rsidP="00D11B12">
      <w:pPr>
        <w:spacing w:line="360" w:lineRule="auto"/>
        <w:ind w:firstLine="1418"/>
        <w:jc w:val="both"/>
        <w:rPr>
          <w:rFonts w:ascii="Cambria" w:hAnsi="Cambria"/>
        </w:rPr>
      </w:pPr>
      <w:r w:rsidRPr="003367A0">
        <w:rPr>
          <w:rFonts w:ascii="Cambria" w:hAnsi="Cambria"/>
        </w:rPr>
        <w:t>Superada a exposição fática, cumpre demonstrar que a Comissão de Educação, Desporto, Ciência e Tecnologia é competente para apreciar denúncia relativa à aplicação de recursos do Fundeb. Tal competência se assenta em fundamentos constitucionais, regimentais e jurisprudenciais</w:t>
      </w:r>
      <w:r>
        <w:rPr>
          <w:rFonts w:ascii="Cambria" w:hAnsi="Cambria"/>
        </w:rPr>
        <w:t xml:space="preserve"> a seguir demonstrados:</w:t>
      </w:r>
    </w:p>
    <w:p w14:paraId="10A9579B" w14:textId="77777777" w:rsidR="00D11B12" w:rsidRPr="003367A0" w:rsidRDefault="00D11B12" w:rsidP="00D11B12">
      <w:pPr>
        <w:spacing w:line="360" w:lineRule="auto"/>
        <w:ind w:firstLine="1418"/>
        <w:jc w:val="both"/>
        <w:rPr>
          <w:rFonts w:ascii="Cambria" w:hAnsi="Cambria"/>
        </w:rPr>
      </w:pPr>
      <w:r w:rsidRPr="003367A0">
        <w:rPr>
          <w:rFonts w:ascii="Cambria" w:hAnsi="Cambria"/>
          <w:b/>
          <w:bCs/>
        </w:rPr>
        <w:t>a) Previsão Constitucional Estadual:</w:t>
      </w:r>
      <w:r w:rsidRPr="003367A0">
        <w:rPr>
          <w:rFonts w:ascii="Cambria" w:hAnsi="Cambria"/>
        </w:rPr>
        <w:t xml:space="preserve"> o </w:t>
      </w:r>
      <w:r w:rsidRPr="003367A0">
        <w:rPr>
          <w:rFonts w:ascii="Cambria" w:hAnsi="Cambria"/>
          <w:b/>
          <w:bCs/>
        </w:rPr>
        <w:t>art. 32, § 2º, III, da Constituição do Estado do Maranhão</w:t>
      </w:r>
      <w:r w:rsidRPr="003367A0">
        <w:rPr>
          <w:rFonts w:ascii="Cambria" w:hAnsi="Cambria"/>
        </w:rPr>
        <w:t xml:space="preserve"> atribui às Comissões Permanentes a prerrogativa de </w:t>
      </w:r>
      <w:r w:rsidRPr="003367A0">
        <w:rPr>
          <w:rFonts w:ascii="Cambria" w:hAnsi="Cambria"/>
          <w:b/>
          <w:bCs/>
        </w:rPr>
        <w:t>receber petições, reclamações, representações ou queixas de qualquer pessoa contra atos das autoridades públicas</w:t>
      </w:r>
      <w:r w:rsidRPr="003367A0">
        <w:rPr>
          <w:rFonts w:ascii="Cambria" w:hAnsi="Cambria"/>
        </w:rPr>
        <w:t>, legitimando a análise de denúncias sobre gestão de recursos educacionais.</w:t>
      </w:r>
    </w:p>
    <w:p w14:paraId="4B928304" w14:textId="77777777" w:rsidR="00D11B12" w:rsidRPr="003367A0" w:rsidRDefault="00D11B12" w:rsidP="00D11B12">
      <w:pPr>
        <w:spacing w:line="360" w:lineRule="auto"/>
        <w:ind w:firstLine="1418"/>
        <w:jc w:val="both"/>
        <w:rPr>
          <w:rFonts w:ascii="Cambria" w:hAnsi="Cambria"/>
        </w:rPr>
      </w:pPr>
      <w:r w:rsidRPr="003367A0">
        <w:rPr>
          <w:rFonts w:ascii="Cambria" w:hAnsi="Cambria"/>
          <w:b/>
          <w:bCs/>
        </w:rPr>
        <w:t>b) Previsão Regimental:</w:t>
      </w:r>
      <w:r w:rsidRPr="003367A0">
        <w:rPr>
          <w:rFonts w:ascii="Cambria" w:hAnsi="Cambria"/>
        </w:rPr>
        <w:t xml:space="preserve"> o </w:t>
      </w:r>
      <w:r w:rsidRPr="003367A0">
        <w:rPr>
          <w:rFonts w:ascii="Cambria" w:hAnsi="Cambria"/>
          <w:b/>
          <w:bCs/>
        </w:rPr>
        <w:t>art. 30, IV, “a”, do Regimento Interno da Assembleia Legislativa</w:t>
      </w:r>
      <w:r w:rsidRPr="003367A0">
        <w:rPr>
          <w:rFonts w:ascii="Cambria" w:hAnsi="Cambria"/>
        </w:rPr>
        <w:t xml:space="preserve"> estabelece competir à Comissão de Educação tratar de </w:t>
      </w:r>
      <w:r w:rsidRPr="003367A0">
        <w:rPr>
          <w:rFonts w:ascii="Cambria" w:hAnsi="Cambria"/>
          <w:b/>
          <w:bCs/>
        </w:rPr>
        <w:t xml:space="preserve">“assuntos </w:t>
      </w:r>
      <w:r w:rsidRPr="003367A0">
        <w:rPr>
          <w:rFonts w:ascii="Cambria" w:hAnsi="Cambria"/>
          <w:b/>
          <w:bCs/>
        </w:rPr>
        <w:lastRenderedPageBreak/>
        <w:t>atinentes à educação em geral (...), inclusive recursos humanos e financeiros para a educação”</w:t>
      </w:r>
      <w:r w:rsidRPr="003367A0">
        <w:rPr>
          <w:rFonts w:ascii="Cambria" w:hAnsi="Cambria"/>
        </w:rPr>
        <w:t>, alcançando, portanto, os valores vinculados ao Fundeb.</w:t>
      </w:r>
    </w:p>
    <w:p w14:paraId="4EB902A6" w14:textId="77777777" w:rsidR="00D11B12" w:rsidRPr="003367A0" w:rsidRDefault="00D11B12" w:rsidP="00D11B12">
      <w:pPr>
        <w:spacing w:line="360" w:lineRule="auto"/>
        <w:ind w:firstLine="1418"/>
        <w:jc w:val="both"/>
        <w:rPr>
          <w:rFonts w:ascii="Cambria" w:hAnsi="Cambria"/>
        </w:rPr>
      </w:pPr>
      <w:r w:rsidRPr="003367A0">
        <w:rPr>
          <w:rFonts w:ascii="Cambria" w:hAnsi="Cambria"/>
          <w:b/>
          <w:bCs/>
        </w:rPr>
        <w:t>c) Federalismo Cooperativo:</w:t>
      </w:r>
      <w:r w:rsidRPr="003367A0">
        <w:rPr>
          <w:rFonts w:ascii="Cambria" w:hAnsi="Cambria"/>
        </w:rPr>
        <w:t xml:space="preserve"> o </w:t>
      </w:r>
      <w:r w:rsidRPr="003367A0">
        <w:rPr>
          <w:rFonts w:ascii="Cambria" w:hAnsi="Cambria"/>
          <w:b/>
          <w:bCs/>
        </w:rPr>
        <w:t>Supremo Tribunal Federal (ADI 5.791/DF)</w:t>
      </w:r>
      <w:r w:rsidRPr="003367A0">
        <w:rPr>
          <w:rFonts w:ascii="Cambria" w:hAnsi="Cambria"/>
        </w:rPr>
        <w:t xml:space="preserve"> reconheceu que a fiscalização dos recursos do Fundeb deve ocorrer de forma </w:t>
      </w:r>
      <w:r w:rsidRPr="003367A0">
        <w:rPr>
          <w:rFonts w:ascii="Cambria" w:hAnsi="Cambria"/>
          <w:b/>
          <w:bCs/>
        </w:rPr>
        <w:t>plural e cooperativa</w:t>
      </w:r>
      <w:r w:rsidRPr="003367A0">
        <w:rPr>
          <w:rFonts w:ascii="Cambria" w:hAnsi="Cambria"/>
        </w:rPr>
        <w:t>, envolvendo TCU, Tribunais de Contas Estaduais/Municipais e órgãos de controle político, como os Parlamentos. Nesse sentido, a atuação da Comissão de Educação se insere no arranjo de fiscalização compartilhada, sem exclusão de nenhum ente.</w:t>
      </w:r>
    </w:p>
    <w:p w14:paraId="2AA77E1C" w14:textId="77777777" w:rsidR="00D11B12" w:rsidRPr="003367A0" w:rsidRDefault="00D11B12" w:rsidP="00D11B12">
      <w:pPr>
        <w:spacing w:line="360" w:lineRule="auto"/>
        <w:ind w:firstLine="1418"/>
        <w:jc w:val="both"/>
        <w:rPr>
          <w:rFonts w:ascii="Cambria" w:hAnsi="Cambria"/>
        </w:rPr>
      </w:pPr>
      <w:r w:rsidRPr="003367A0">
        <w:rPr>
          <w:rFonts w:ascii="Cambria" w:hAnsi="Cambria"/>
          <w:b/>
          <w:bCs/>
        </w:rPr>
        <w:t>d) Composição do Fundeb:</w:t>
      </w:r>
      <w:r w:rsidRPr="003367A0">
        <w:rPr>
          <w:rFonts w:ascii="Cambria" w:hAnsi="Cambria"/>
        </w:rPr>
        <w:t xml:space="preserve"> além da complementação da União, o Fundeb é formado por </w:t>
      </w:r>
      <w:r w:rsidRPr="003367A0">
        <w:rPr>
          <w:rFonts w:ascii="Cambria" w:hAnsi="Cambria"/>
          <w:b/>
          <w:bCs/>
        </w:rPr>
        <w:t>tributos estaduais (ICMS, IPVA, ITCMD)</w:t>
      </w:r>
      <w:r w:rsidRPr="003367A0">
        <w:rPr>
          <w:rFonts w:ascii="Cambria" w:hAnsi="Cambria"/>
        </w:rPr>
        <w:t xml:space="preserve"> e </w:t>
      </w:r>
      <w:r w:rsidRPr="003367A0">
        <w:rPr>
          <w:rFonts w:ascii="Cambria" w:hAnsi="Cambria"/>
          <w:b/>
          <w:bCs/>
        </w:rPr>
        <w:t>tributos municipais (FPM, ITBI, IPTU, entre outros)</w:t>
      </w:r>
      <w:r w:rsidRPr="003367A0">
        <w:rPr>
          <w:rFonts w:ascii="Cambria" w:hAnsi="Cambria"/>
        </w:rPr>
        <w:t>, todos de origem nos contribuintes locais. Por isso, a Assembleia Legislativa — enquanto Casa do Povo e órgão fiscalizador da aplicação de recursos estaduais e municipais — tem interesse direto e legítimo em acompanhar a regular utilização dessas verbas.</w:t>
      </w:r>
    </w:p>
    <w:p w14:paraId="769DCFE9" w14:textId="77777777" w:rsidR="00D11B12" w:rsidRDefault="00D11B12" w:rsidP="00D11B12">
      <w:pPr>
        <w:spacing w:line="360" w:lineRule="auto"/>
        <w:ind w:firstLine="1418"/>
        <w:jc w:val="both"/>
        <w:rPr>
          <w:rFonts w:ascii="Cambria" w:hAnsi="Cambria"/>
        </w:rPr>
      </w:pPr>
      <w:r w:rsidRPr="003367A0">
        <w:rPr>
          <w:rFonts w:ascii="Cambria" w:hAnsi="Cambria"/>
        </w:rPr>
        <w:t>Dessa forma, a competência da Comissão é ampla e se justifica tanto pelo ordenamento jurídico estadual (CE/MA e R</w:t>
      </w:r>
      <w:r>
        <w:rPr>
          <w:rFonts w:ascii="Cambria" w:hAnsi="Cambria"/>
        </w:rPr>
        <w:t xml:space="preserve">egimento </w:t>
      </w:r>
      <w:r w:rsidRPr="003367A0">
        <w:rPr>
          <w:rFonts w:ascii="Cambria" w:hAnsi="Cambria"/>
        </w:rPr>
        <w:t>I</w:t>
      </w:r>
      <w:r>
        <w:rPr>
          <w:rFonts w:ascii="Cambria" w:hAnsi="Cambria"/>
        </w:rPr>
        <w:t>nterno Alema</w:t>
      </w:r>
      <w:r w:rsidRPr="003367A0">
        <w:rPr>
          <w:rFonts w:ascii="Cambria" w:hAnsi="Cambria"/>
        </w:rPr>
        <w:t>), quanto pelo modelo federativo cooperativo e pela própria composição do Fundeb.</w:t>
      </w:r>
    </w:p>
    <w:p w14:paraId="1F3E1263" w14:textId="77777777" w:rsidR="00D11B12" w:rsidRDefault="00D11B12" w:rsidP="00D11B12">
      <w:pPr>
        <w:spacing w:line="360" w:lineRule="auto"/>
        <w:jc w:val="both"/>
        <w:rPr>
          <w:rFonts w:ascii="Cambria" w:hAnsi="Cambria"/>
          <w:b/>
          <w:bCs/>
        </w:rPr>
      </w:pPr>
    </w:p>
    <w:p w14:paraId="2B541371" w14:textId="77777777" w:rsidR="00D11B12" w:rsidRPr="003367A0" w:rsidRDefault="00D11B12" w:rsidP="00D11B12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III – </w:t>
      </w:r>
      <w:r w:rsidRPr="003367A0">
        <w:rPr>
          <w:rFonts w:ascii="Cambria" w:hAnsi="Cambria"/>
          <w:b/>
          <w:bCs/>
        </w:rPr>
        <w:t>Conclusão</w:t>
      </w:r>
    </w:p>
    <w:p w14:paraId="182579B6" w14:textId="058BA755" w:rsidR="007A696C" w:rsidRDefault="00D11B12" w:rsidP="00D11B12">
      <w:pPr>
        <w:spacing w:line="360" w:lineRule="auto"/>
        <w:ind w:left="10" w:right="119" w:firstLine="1426"/>
        <w:jc w:val="both"/>
        <w:rPr>
          <w:rFonts w:ascii="Cambria" w:hAnsi="Cambria"/>
        </w:rPr>
      </w:pPr>
      <w:r w:rsidRPr="003367A0">
        <w:rPr>
          <w:rFonts w:ascii="Cambria" w:hAnsi="Cambria"/>
        </w:rPr>
        <w:t xml:space="preserve">Diante do exposto, com fundamento no </w:t>
      </w:r>
      <w:r w:rsidRPr="003367A0">
        <w:rPr>
          <w:rFonts w:ascii="Cambria" w:hAnsi="Cambria"/>
          <w:b/>
          <w:bCs/>
        </w:rPr>
        <w:t>art. 32, § 2º, III, da Constituição do Estado do Maranhão</w:t>
      </w:r>
      <w:r w:rsidRPr="003367A0">
        <w:rPr>
          <w:rFonts w:ascii="Cambria" w:hAnsi="Cambria"/>
        </w:rPr>
        <w:t xml:space="preserve">, no </w:t>
      </w:r>
      <w:r w:rsidRPr="003367A0">
        <w:rPr>
          <w:rFonts w:ascii="Cambria" w:hAnsi="Cambria"/>
          <w:b/>
          <w:bCs/>
        </w:rPr>
        <w:t>art. 30, IV, “a”, do Regimento Interno da Assembleia Legislativa</w:t>
      </w:r>
      <w:r w:rsidRPr="003367A0">
        <w:rPr>
          <w:rFonts w:ascii="Cambria" w:hAnsi="Cambria"/>
        </w:rPr>
        <w:t>, e em conformidade com a jurisprudência do Supremo Tribunal Federal</w:t>
      </w:r>
      <w:r>
        <w:rPr>
          <w:rFonts w:ascii="Cambria" w:hAnsi="Cambria"/>
        </w:rPr>
        <w:t xml:space="preserve">, </w:t>
      </w:r>
      <w:r w:rsidRPr="003367A0">
        <w:rPr>
          <w:rFonts w:ascii="Cambria" w:hAnsi="Cambria"/>
        </w:rPr>
        <w:t xml:space="preserve">que reafirma o modelo de fiscalização cooperativa do Fundeb, </w:t>
      </w:r>
      <w:r w:rsidRPr="003367A0">
        <w:rPr>
          <w:rFonts w:ascii="Cambria" w:hAnsi="Cambria"/>
          <w:b/>
          <w:bCs/>
        </w:rPr>
        <w:t xml:space="preserve">requer-se que a Comissão de Educação, Desporto, Ciência e Tecnologia receba e aprecie a denúncia relativa à aplicação de recursos do Fundeb no Município </w:t>
      </w:r>
      <w:r>
        <w:rPr>
          <w:rFonts w:ascii="Cambria" w:hAnsi="Cambria"/>
          <w:b/>
          <w:bCs/>
        </w:rPr>
        <w:t>Grajaú/MA</w:t>
      </w:r>
      <w:r w:rsidRPr="003367A0">
        <w:rPr>
          <w:rFonts w:ascii="Cambria" w:hAnsi="Cambria"/>
        </w:rPr>
        <w:t>, reconhecendo sua competência para análise político-parlamentar da matéria.</w:t>
      </w:r>
    </w:p>
    <w:p w14:paraId="485C3E8F" w14:textId="77777777" w:rsidR="00D11B12" w:rsidRDefault="00D11B12" w:rsidP="00D11B12">
      <w:pPr>
        <w:spacing w:line="360" w:lineRule="auto"/>
        <w:ind w:left="10" w:right="119" w:firstLine="1426"/>
        <w:jc w:val="both"/>
        <w:rPr>
          <w:sz w:val="24"/>
        </w:rPr>
      </w:pPr>
    </w:p>
    <w:p w14:paraId="404364CF" w14:textId="3B246E98" w:rsidR="007A696C" w:rsidRDefault="00000000" w:rsidP="00D11B12">
      <w:pPr>
        <w:spacing w:line="360" w:lineRule="auto"/>
        <w:ind w:left="10"/>
        <w:rPr>
          <w:sz w:val="20"/>
        </w:rPr>
        <w:sectPr w:rsidR="007A696C" w:rsidSect="00D11B12">
          <w:type w:val="continuous"/>
          <w:pgSz w:w="11910" w:h="16850"/>
          <w:pgMar w:top="1417" w:right="1701" w:bottom="1417" w:left="1701" w:header="720" w:footer="720" w:gutter="0"/>
          <w:cols w:space="720"/>
          <w:docGrid w:linePitch="299"/>
        </w:sectPr>
      </w:pPr>
      <w:r>
        <w:rPr>
          <w:b/>
          <w:sz w:val="24"/>
        </w:rPr>
        <w:t>Plenário “Deputado Nagib Haickel do Palácio “Manuel Beckman” em São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Luís,</w:t>
      </w:r>
      <w:r w:rsidR="00B742B2">
        <w:rPr>
          <w:b/>
          <w:sz w:val="24"/>
        </w:rPr>
        <w:t xml:space="preserve"> </w:t>
      </w:r>
      <w:r w:rsidR="002E768C">
        <w:rPr>
          <w:b/>
          <w:sz w:val="24"/>
        </w:rPr>
        <w:t>04</w:t>
      </w:r>
      <w:r>
        <w:rPr>
          <w:b/>
          <w:sz w:val="24"/>
        </w:rPr>
        <w:t xml:space="preserve"> de</w:t>
      </w:r>
      <w:r>
        <w:rPr>
          <w:b/>
          <w:spacing w:val="40"/>
          <w:sz w:val="24"/>
        </w:rPr>
        <w:t xml:space="preserve"> </w:t>
      </w:r>
      <w:r w:rsidR="002E768C">
        <w:rPr>
          <w:b/>
          <w:sz w:val="24"/>
        </w:rPr>
        <w:t>setembro</w:t>
      </w:r>
      <w:r>
        <w:rPr>
          <w:b/>
          <w:sz w:val="24"/>
        </w:rPr>
        <w:t xml:space="preserve"> de 2025</w:t>
      </w:r>
      <w:r>
        <w:rPr>
          <w:sz w:val="24"/>
        </w:rPr>
        <w:t>.</w:t>
      </w:r>
    </w:p>
    <w:p w14:paraId="793CE7BF" w14:textId="77777777" w:rsidR="007A696C" w:rsidRDefault="007A696C" w:rsidP="00D11B12">
      <w:pPr>
        <w:pStyle w:val="Ttulo1"/>
        <w:spacing w:before="104" w:line="360" w:lineRule="auto"/>
      </w:pPr>
    </w:p>
    <w:p w14:paraId="281BAA76" w14:textId="77777777" w:rsidR="00D11B12" w:rsidRDefault="00D11B12" w:rsidP="00D11B12">
      <w:pPr>
        <w:pStyle w:val="Ttulo1"/>
        <w:spacing w:before="104" w:line="360" w:lineRule="auto"/>
      </w:pPr>
    </w:p>
    <w:p w14:paraId="3CE37C5A" w14:textId="77777777" w:rsidR="00D11B12" w:rsidRDefault="00D11B12" w:rsidP="00D11B12">
      <w:pPr>
        <w:pStyle w:val="Ttulo1"/>
        <w:spacing w:before="104" w:line="360" w:lineRule="auto"/>
      </w:pPr>
    </w:p>
    <w:p w14:paraId="747F3D73" w14:textId="77777777" w:rsidR="00D11B12" w:rsidRDefault="00D11B12" w:rsidP="00D11B12">
      <w:pPr>
        <w:pStyle w:val="Ttulo1"/>
        <w:spacing w:before="104" w:line="360" w:lineRule="auto"/>
        <w:sectPr w:rsidR="00D11B12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45" w:space="40"/>
            <w:col w:w="4733"/>
          </w:cols>
        </w:sectPr>
      </w:pPr>
    </w:p>
    <w:p w14:paraId="50656654" w14:textId="77777777" w:rsidR="00426224" w:rsidRDefault="00426224" w:rsidP="00D11B12">
      <w:pPr>
        <w:spacing w:line="360" w:lineRule="auto"/>
        <w:rPr>
          <w:rFonts w:ascii="Trebuchet MS"/>
          <w:position w:val="6"/>
          <w:sz w:val="19"/>
        </w:rPr>
        <w:sectPr w:rsidR="00426224">
          <w:type w:val="continuous"/>
          <w:pgSz w:w="11910" w:h="16850"/>
          <w:pgMar w:top="420" w:right="1275" w:bottom="280" w:left="1417" w:header="720" w:footer="720" w:gutter="0"/>
          <w:cols w:space="720"/>
        </w:sectPr>
      </w:pPr>
    </w:p>
    <w:p w14:paraId="2E383176" w14:textId="77777777" w:rsidR="00426224" w:rsidRDefault="00426224" w:rsidP="00D11B12">
      <w:pPr>
        <w:pStyle w:val="Corpodetexto"/>
        <w:spacing w:line="360" w:lineRule="auto"/>
        <w:rPr>
          <w:rFonts w:ascii="Trebuchet MS"/>
        </w:rPr>
        <w:sectPr w:rsidR="00426224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61" w:space="40"/>
            <w:col w:w="4717"/>
          </w:cols>
        </w:sectPr>
      </w:pPr>
    </w:p>
    <w:p w14:paraId="3CCE5110" w14:textId="77777777" w:rsidR="007A696C" w:rsidRDefault="00000000" w:rsidP="00D11B12">
      <w:pPr>
        <w:spacing w:before="81" w:line="360" w:lineRule="auto"/>
        <w:ind w:right="121"/>
        <w:jc w:val="center"/>
        <w:rPr>
          <w:sz w:val="24"/>
        </w:rPr>
      </w:pPr>
      <w:r>
        <w:rPr>
          <w:sz w:val="24"/>
        </w:rPr>
        <w:t>RICARDO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ARRUDA</w:t>
      </w:r>
    </w:p>
    <w:p w14:paraId="52089A71" w14:textId="77777777" w:rsidR="007A696C" w:rsidRDefault="00000000" w:rsidP="00D11B12">
      <w:pPr>
        <w:spacing w:line="360" w:lineRule="auto"/>
        <w:ind w:left="6" w:right="121"/>
        <w:jc w:val="center"/>
        <w:rPr>
          <w:sz w:val="24"/>
        </w:rPr>
      </w:pPr>
      <w:r>
        <w:rPr>
          <w:sz w:val="24"/>
        </w:rPr>
        <w:t>Deputado</w:t>
      </w:r>
      <w:r>
        <w:rPr>
          <w:spacing w:val="13"/>
          <w:sz w:val="24"/>
        </w:rPr>
        <w:t xml:space="preserve"> </w:t>
      </w:r>
      <w:r>
        <w:rPr>
          <w:sz w:val="24"/>
        </w:rPr>
        <w:t>Estadual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MDB</w:t>
      </w:r>
    </w:p>
    <w:sectPr w:rsidR="007A696C">
      <w:type w:val="continuous"/>
      <w:pgSz w:w="11910" w:h="16850"/>
      <w:pgMar w:top="4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6C"/>
    <w:rsid w:val="002E768C"/>
    <w:rsid w:val="00426224"/>
    <w:rsid w:val="004855A9"/>
    <w:rsid w:val="007A696C"/>
    <w:rsid w:val="007D7030"/>
    <w:rsid w:val="00A01F59"/>
    <w:rsid w:val="00A52662"/>
    <w:rsid w:val="00B742B2"/>
    <w:rsid w:val="00D11B12"/>
    <w:rsid w:val="00D717F1"/>
    <w:rsid w:val="00F1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1E8F"/>
  <w15:docId w15:val="{A496BED8-4324-4511-86C8-4B67DA23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855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5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5A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5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5A9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DA PRESIDÊNCIA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DA PRESIDÊNCIA</dc:title>
  <dc:creator>CPD-Manutencao</dc:creator>
  <cp:lastModifiedBy>Ricardo Antonio Soares Castro Filho</cp:lastModifiedBy>
  <cp:revision>2</cp:revision>
  <cp:lastPrinted>2025-09-04T12:48:00Z</cp:lastPrinted>
  <dcterms:created xsi:type="dcterms:W3CDTF">2025-09-04T13:12:00Z</dcterms:created>
  <dcterms:modified xsi:type="dcterms:W3CDTF">2025-09-04T13:12:00Z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para Microsoft 365</vt:lpwstr>
  </property>
</Properties>
</file>