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2B4" w:rsidRPr="005032B4" w:rsidRDefault="005032B4" w:rsidP="005032B4">
      <w:pPr>
        <w:pStyle w:val="Ttulo1"/>
        <w:jc w:val="center"/>
        <w:rPr>
          <w:sz w:val="22"/>
          <w:szCs w:val="22"/>
          <w:u w:val="single"/>
        </w:rPr>
      </w:pPr>
      <w:r w:rsidRPr="005032B4">
        <w:rPr>
          <w:sz w:val="22"/>
          <w:szCs w:val="22"/>
          <w:u w:val="single"/>
        </w:rPr>
        <w:t>COMISSÃO DE CONSTITUIÇÃO, JUSTIÇA E CIDADANIA</w:t>
      </w:r>
    </w:p>
    <w:p w:rsidR="005032B4" w:rsidRPr="005032B4" w:rsidRDefault="005032B4" w:rsidP="005032B4">
      <w:pPr>
        <w:pStyle w:val="Ttulo2"/>
        <w:ind w:firstLine="3119"/>
        <w:jc w:val="left"/>
        <w:rPr>
          <w:rFonts w:ascii="Times New Roman" w:hAnsi="Times New Roman"/>
          <w:sz w:val="22"/>
          <w:szCs w:val="22"/>
          <w:u w:val="single"/>
        </w:rPr>
      </w:pPr>
      <w:r w:rsidRPr="005032B4">
        <w:rPr>
          <w:rFonts w:ascii="Times New Roman" w:hAnsi="Times New Roman"/>
          <w:b/>
          <w:sz w:val="22"/>
          <w:szCs w:val="22"/>
          <w:u w:val="single"/>
        </w:rPr>
        <w:t xml:space="preserve">P A R E C E R </w:t>
      </w:r>
      <w:proofErr w:type="gramStart"/>
      <w:r w:rsidRPr="005032B4">
        <w:rPr>
          <w:rFonts w:ascii="Times New Roman" w:hAnsi="Times New Roman"/>
          <w:b/>
          <w:sz w:val="22"/>
          <w:szCs w:val="22"/>
          <w:u w:val="single"/>
        </w:rPr>
        <w:t xml:space="preserve">Nº  </w:t>
      </w:r>
      <w:r w:rsidR="00E04AE3">
        <w:rPr>
          <w:rFonts w:ascii="Times New Roman" w:hAnsi="Times New Roman"/>
          <w:b/>
          <w:sz w:val="22"/>
          <w:szCs w:val="22"/>
          <w:u w:val="single"/>
        </w:rPr>
        <w:t>20</w:t>
      </w:r>
      <w:r w:rsidR="00CB1697">
        <w:rPr>
          <w:rFonts w:ascii="Times New Roman" w:hAnsi="Times New Roman"/>
          <w:b/>
          <w:sz w:val="22"/>
          <w:szCs w:val="22"/>
          <w:u w:val="single"/>
        </w:rPr>
        <w:t>7</w:t>
      </w:r>
      <w:proofErr w:type="gramEnd"/>
      <w:r w:rsidRPr="005032B4">
        <w:rPr>
          <w:rFonts w:ascii="Times New Roman" w:hAnsi="Times New Roman"/>
          <w:b/>
          <w:sz w:val="22"/>
          <w:szCs w:val="22"/>
          <w:u w:val="single"/>
        </w:rPr>
        <w:t xml:space="preserve">  /2015</w:t>
      </w:r>
    </w:p>
    <w:p w:rsidR="005032B4" w:rsidRDefault="005032B4" w:rsidP="00882134">
      <w:pPr>
        <w:autoSpaceDE w:val="0"/>
        <w:autoSpaceDN w:val="0"/>
        <w:adjustRightInd w:val="0"/>
        <w:spacing w:after="0" w:line="360" w:lineRule="auto"/>
        <w:jc w:val="both"/>
        <w:rPr>
          <w:rFonts w:ascii="Times New Roman" w:hAnsi="Times New Roman" w:cs="Times New Roman"/>
          <w:b/>
          <w:color w:val="000000" w:themeColor="text1"/>
          <w:sz w:val="24"/>
          <w:szCs w:val="24"/>
          <w:u w:val="single"/>
        </w:rPr>
      </w:pPr>
    </w:p>
    <w:p w:rsidR="00E04AE3" w:rsidRPr="005032B4" w:rsidRDefault="00E04AE3" w:rsidP="00882134">
      <w:pPr>
        <w:autoSpaceDE w:val="0"/>
        <w:autoSpaceDN w:val="0"/>
        <w:adjustRightInd w:val="0"/>
        <w:spacing w:after="0" w:line="360" w:lineRule="auto"/>
        <w:jc w:val="both"/>
        <w:rPr>
          <w:rFonts w:ascii="Times New Roman" w:hAnsi="Times New Roman" w:cs="Times New Roman"/>
          <w:b/>
          <w:color w:val="000000" w:themeColor="text1"/>
          <w:sz w:val="24"/>
          <w:szCs w:val="24"/>
          <w:u w:val="single"/>
        </w:rPr>
      </w:pPr>
    </w:p>
    <w:p w:rsidR="0019434F" w:rsidRPr="005032B4" w:rsidRDefault="0019434F" w:rsidP="00882134">
      <w:pPr>
        <w:autoSpaceDE w:val="0"/>
        <w:autoSpaceDN w:val="0"/>
        <w:adjustRightInd w:val="0"/>
        <w:spacing w:after="0" w:line="360" w:lineRule="auto"/>
        <w:jc w:val="both"/>
        <w:rPr>
          <w:rFonts w:ascii="Times New Roman" w:hAnsi="Times New Roman" w:cs="Times New Roman"/>
          <w:b/>
          <w:color w:val="000000" w:themeColor="text1"/>
          <w:sz w:val="24"/>
          <w:szCs w:val="24"/>
          <w:u w:val="single"/>
        </w:rPr>
      </w:pPr>
      <w:r w:rsidRPr="005032B4">
        <w:rPr>
          <w:rFonts w:ascii="Times New Roman" w:hAnsi="Times New Roman" w:cs="Times New Roman"/>
          <w:b/>
          <w:color w:val="000000" w:themeColor="text1"/>
          <w:sz w:val="24"/>
          <w:szCs w:val="24"/>
          <w:u w:val="single"/>
        </w:rPr>
        <w:t>RELATÓRIO</w:t>
      </w:r>
      <w:r w:rsidR="005032B4" w:rsidRPr="005032B4">
        <w:rPr>
          <w:rFonts w:ascii="Times New Roman" w:hAnsi="Times New Roman" w:cs="Times New Roman"/>
          <w:b/>
          <w:color w:val="000000" w:themeColor="text1"/>
          <w:sz w:val="24"/>
          <w:szCs w:val="24"/>
          <w:u w:val="single"/>
        </w:rPr>
        <w:t>:</w:t>
      </w:r>
    </w:p>
    <w:p w:rsidR="00CB1697" w:rsidRPr="0014231C" w:rsidRDefault="00CB1697" w:rsidP="00CB1697">
      <w:pPr>
        <w:autoSpaceDE w:val="0"/>
        <w:autoSpaceDN w:val="0"/>
        <w:adjustRightInd w:val="0"/>
        <w:spacing w:after="0" w:line="360" w:lineRule="auto"/>
        <w:ind w:firstLine="1134"/>
        <w:jc w:val="both"/>
        <w:rPr>
          <w:rFonts w:ascii="Verdana" w:hAnsi="Verdana" w:cs="Arial-ItalicMT"/>
          <w:iCs/>
          <w:color w:val="000000" w:themeColor="text1"/>
          <w:sz w:val="24"/>
          <w:szCs w:val="24"/>
        </w:rPr>
      </w:pPr>
      <w:r w:rsidRPr="0014231C">
        <w:rPr>
          <w:rFonts w:ascii="Verdana" w:hAnsi="Verdana" w:cs="ArialMT"/>
          <w:color w:val="000000" w:themeColor="text1"/>
          <w:sz w:val="24"/>
          <w:szCs w:val="24"/>
        </w:rPr>
        <w:t xml:space="preserve">Cuida-se da </w:t>
      </w:r>
      <w:r w:rsidRPr="0014231C">
        <w:rPr>
          <w:rFonts w:ascii="Verdana" w:hAnsi="Verdana" w:cs="ArialMT"/>
          <w:b/>
          <w:color w:val="000000" w:themeColor="text1"/>
          <w:sz w:val="24"/>
          <w:szCs w:val="24"/>
        </w:rPr>
        <w:t xml:space="preserve">análise de constitucionalidade, juridicidade, legalidade e técnica legislativa </w:t>
      </w:r>
      <w:r w:rsidRPr="0014231C">
        <w:rPr>
          <w:rFonts w:ascii="Verdana" w:hAnsi="Verdana" w:cs="ArialMT"/>
          <w:color w:val="000000" w:themeColor="text1"/>
          <w:sz w:val="24"/>
          <w:szCs w:val="24"/>
        </w:rPr>
        <w:t xml:space="preserve">da </w:t>
      </w:r>
      <w:r w:rsidRPr="0014231C">
        <w:rPr>
          <w:rFonts w:ascii="Verdana" w:hAnsi="Verdana" w:cs="Arial-ItalicMT"/>
          <w:b/>
          <w:iCs/>
          <w:color w:val="000000" w:themeColor="text1"/>
          <w:sz w:val="24"/>
          <w:szCs w:val="24"/>
        </w:rPr>
        <w:t>Proposta de Emen</w:t>
      </w:r>
      <w:r>
        <w:rPr>
          <w:rFonts w:ascii="Verdana" w:hAnsi="Verdana" w:cs="Arial-ItalicMT"/>
          <w:b/>
          <w:iCs/>
          <w:color w:val="000000" w:themeColor="text1"/>
          <w:sz w:val="24"/>
          <w:szCs w:val="24"/>
        </w:rPr>
        <w:t>da à Constituição Estadual</w:t>
      </w:r>
      <w:r w:rsidRPr="0014231C">
        <w:rPr>
          <w:rFonts w:ascii="Verdana" w:hAnsi="Verdana" w:cs="Arial-ItalicMT"/>
          <w:b/>
          <w:iCs/>
          <w:color w:val="000000" w:themeColor="text1"/>
          <w:sz w:val="24"/>
          <w:szCs w:val="24"/>
        </w:rPr>
        <w:t xml:space="preserve"> nº 008/2015,</w:t>
      </w:r>
      <w:r w:rsidRPr="0014231C">
        <w:rPr>
          <w:rFonts w:ascii="Verdana" w:hAnsi="Verdana" w:cs="Arial-ItalicMT"/>
          <w:iCs/>
          <w:color w:val="000000" w:themeColor="text1"/>
          <w:sz w:val="24"/>
          <w:szCs w:val="24"/>
        </w:rPr>
        <w:t xml:space="preserve"> </w:t>
      </w:r>
      <w:r>
        <w:rPr>
          <w:rFonts w:ascii="Verdana" w:hAnsi="Verdana" w:cs="Arial-ItalicMT"/>
          <w:iCs/>
          <w:color w:val="000000" w:themeColor="text1"/>
          <w:sz w:val="24"/>
          <w:szCs w:val="24"/>
        </w:rPr>
        <w:t xml:space="preserve">de autoria do Deputado Wellington do Curso, subscrita por um terço dos membros da Assembleis, </w:t>
      </w:r>
      <w:r w:rsidRPr="0014231C">
        <w:rPr>
          <w:rFonts w:ascii="Verdana" w:hAnsi="Verdana" w:cs="Arial-ItalicMT"/>
          <w:iCs/>
          <w:color w:val="000000" w:themeColor="text1"/>
          <w:sz w:val="24"/>
          <w:szCs w:val="24"/>
        </w:rPr>
        <w:t xml:space="preserve"> visa acrescentar ao art. 21 da Constituição Estadual o § 5º, instituindo carga horária reduzida à metade para os servidores públicos estaduais e municipais que possuírem filhos portadores de deficiências físicas, sensoriais ou mentais e espectros autistas, desde que comprovem o fato perante a autoridade que lhe seja imediatamente superior.</w:t>
      </w:r>
    </w:p>
    <w:p w:rsidR="00CB1697" w:rsidRPr="0014231C" w:rsidRDefault="00CB1697" w:rsidP="00CB1697">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t>É o relatório.</w:t>
      </w:r>
    </w:p>
    <w:p w:rsidR="00CB1697" w:rsidRPr="0014231C" w:rsidRDefault="00CB1697" w:rsidP="00CB1697">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t xml:space="preserve">Conforme supramencionado, analisar-se-á neste parecer a constitucionalidade, a juridicidade e a legalidade da Proposta de Emenda à Constituição Estadual – PEC apresentada, nos âmbitos formal e material. </w:t>
      </w:r>
    </w:p>
    <w:p w:rsidR="00CB1697" w:rsidRPr="0014231C" w:rsidRDefault="00CB1697" w:rsidP="00CB1697">
      <w:pPr>
        <w:autoSpaceDE w:val="0"/>
        <w:autoSpaceDN w:val="0"/>
        <w:adjustRightInd w:val="0"/>
        <w:spacing w:after="0" w:line="360" w:lineRule="auto"/>
        <w:ind w:firstLine="1134"/>
        <w:jc w:val="both"/>
        <w:rPr>
          <w:rFonts w:ascii="Verdana" w:hAnsi="Verdana" w:cs="ArialMT"/>
          <w:i/>
          <w:color w:val="000000" w:themeColor="text1"/>
          <w:sz w:val="24"/>
          <w:szCs w:val="24"/>
        </w:rPr>
      </w:pPr>
      <w:r w:rsidRPr="0014231C">
        <w:rPr>
          <w:rFonts w:ascii="Verdana" w:hAnsi="Verdana" w:cs="ArialMT"/>
          <w:color w:val="000000" w:themeColor="text1"/>
          <w:sz w:val="24"/>
          <w:szCs w:val="24"/>
        </w:rPr>
        <w:t xml:space="preserve">O primeiro ponto de análise é a </w:t>
      </w:r>
      <w:r w:rsidRPr="0014231C">
        <w:rPr>
          <w:rFonts w:ascii="Verdana" w:hAnsi="Verdana" w:cs="ArialMT"/>
          <w:b/>
          <w:color w:val="000000" w:themeColor="text1"/>
          <w:sz w:val="24"/>
          <w:szCs w:val="24"/>
        </w:rPr>
        <w:t>iniciativa da proposição</w:t>
      </w:r>
      <w:r w:rsidRPr="0014231C">
        <w:rPr>
          <w:rFonts w:ascii="Verdana" w:hAnsi="Verdana" w:cs="ArialMT"/>
          <w:color w:val="000000" w:themeColor="text1"/>
          <w:sz w:val="24"/>
          <w:szCs w:val="24"/>
        </w:rPr>
        <w:t xml:space="preserve">. No caso das </w:t>
      </w:r>
      <w:proofErr w:type="spellStart"/>
      <w:r w:rsidRPr="0014231C">
        <w:rPr>
          <w:rFonts w:ascii="Verdana" w:hAnsi="Verdana" w:cs="ArialMT"/>
          <w:color w:val="000000" w:themeColor="text1"/>
          <w:sz w:val="24"/>
          <w:szCs w:val="24"/>
        </w:rPr>
        <w:t>PECs</w:t>
      </w:r>
      <w:proofErr w:type="spellEnd"/>
      <w:r w:rsidRPr="0014231C">
        <w:rPr>
          <w:rFonts w:ascii="Verdana" w:hAnsi="Verdana" w:cs="ArialMT"/>
          <w:color w:val="000000" w:themeColor="text1"/>
          <w:sz w:val="24"/>
          <w:szCs w:val="24"/>
        </w:rPr>
        <w:t xml:space="preserve">, o art. 41 da Constituição do Estado do Maranhão determina da seguinte forma quanto à iniciativa: </w:t>
      </w:r>
      <w:r w:rsidRPr="0014231C">
        <w:rPr>
          <w:rFonts w:ascii="Verdana" w:hAnsi="Verdana" w:cs="ArialMT"/>
          <w:i/>
          <w:color w:val="000000" w:themeColor="text1"/>
          <w:sz w:val="24"/>
          <w:szCs w:val="24"/>
        </w:rPr>
        <w:t xml:space="preserve">“A Constituição poderá ser emendada mediante proposta: </w:t>
      </w:r>
      <w:r w:rsidRPr="0014231C">
        <w:rPr>
          <w:rFonts w:ascii="Verdana" w:hAnsi="Verdana" w:cs="ArialMT"/>
          <w:b/>
          <w:i/>
          <w:color w:val="000000" w:themeColor="text1"/>
          <w:sz w:val="24"/>
          <w:szCs w:val="24"/>
        </w:rPr>
        <w:t>I –</w:t>
      </w:r>
      <w:r w:rsidRPr="0014231C">
        <w:rPr>
          <w:rFonts w:ascii="Verdana" w:hAnsi="Verdana" w:cs="ArialMT"/>
          <w:i/>
          <w:color w:val="000000" w:themeColor="text1"/>
          <w:sz w:val="24"/>
          <w:szCs w:val="24"/>
        </w:rPr>
        <w:t xml:space="preserve"> </w:t>
      </w:r>
      <w:r w:rsidRPr="0014231C">
        <w:rPr>
          <w:rFonts w:ascii="Verdana" w:hAnsi="Verdana" w:cs="ArialMT"/>
          <w:b/>
          <w:i/>
          <w:color w:val="000000" w:themeColor="text1"/>
          <w:sz w:val="24"/>
          <w:szCs w:val="24"/>
        </w:rPr>
        <w:t xml:space="preserve">de um terço, no mínimo, dos membros da </w:t>
      </w:r>
      <w:proofErr w:type="spellStart"/>
      <w:r w:rsidRPr="0014231C">
        <w:rPr>
          <w:rFonts w:ascii="Verdana" w:hAnsi="Verdana" w:cs="ArialMT"/>
          <w:b/>
          <w:i/>
          <w:color w:val="000000" w:themeColor="text1"/>
          <w:sz w:val="24"/>
          <w:szCs w:val="24"/>
        </w:rPr>
        <w:t>Assembléia</w:t>
      </w:r>
      <w:proofErr w:type="spellEnd"/>
      <w:r w:rsidRPr="0014231C">
        <w:rPr>
          <w:rFonts w:ascii="Verdana" w:hAnsi="Verdana" w:cs="ArialMT"/>
          <w:b/>
          <w:i/>
          <w:color w:val="000000" w:themeColor="text1"/>
          <w:sz w:val="24"/>
          <w:szCs w:val="24"/>
        </w:rPr>
        <w:t xml:space="preserve"> Legislativa</w:t>
      </w:r>
      <w:r w:rsidRPr="0014231C">
        <w:rPr>
          <w:rFonts w:ascii="Verdana" w:hAnsi="Verdana" w:cs="ArialMT"/>
          <w:i/>
          <w:color w:val="000000" w:themeColor="text1"/>
          <w:sz w:val="24"/>
          <w:szCs w:val="24"/>
        </w:rPr>
        <w:t>; II – do Governador do Estado; III – de mais da metade das Câmaras Municipais do Estado, com a manifestação de cada uma delas por maioria relativa de seus membros.</w:t>
      </w:r>
    </w:p>
    <w:p w:rsidR="00F22180" w:rsidRDefault="00F22180" w:rsidP="00CB1697">
      <w:pPr>
        <w:autoSpaceDE w:val="0"/>
        <w:autoSpaceDN w:val="0"/>
        <w:adjustRightInd w:val="0"/>
        <w:spacing w:after="0" w:line="360" w:lineRule="auto"/>
        <w:ind w:firstLine="1134"/>
        <w:jc w:val="both"/>
        <w:rPr>
          <w:rFonts w:ascii="Verdana" w:hAnsi="Verdana" w:cs="ArialMT"/>
          <w:color w:val="000000" w:themeColor="text1"/>
          <w:sz w:val="24"/>
          <w:szCs w:val="24"/>
        </w:rPr>
      </w:pPr>
    </w:p>
    <w:p w:rsidR="00CB1697" w:rsidRPr="0014231C" w:rsidRDefault="00CB1697" w:rsidP="00CB1697">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lastRenderedPageBreak/>
        <w:t xml:space="preserve">A presente PEC é </w:t>
      </w:r>
      <w:r w:rsidRPr="0014231C">
        <w:rPr>
          <w:rFonts w:ascii="Verdana" w:hAnsi="Verdana" w:cs="ArialMT"/>
          <w:b/>
          <w:color w:val="000000" w:themeColor="text1"/>
          <w:sz w:val="24"/>
          <w:szCs w:val="24"/>
        </w:rPr>
        <w:t>corretamente subscrita por um terço</w:t>
      </w:r>
      <w:r w:rsidRPr="0014231C">
        <w:rPr>
          <w:rFonts w:ascii="Verdana" w:hAnsi="Verdana" w:cs="ArialMT"/>
          <w:color w:val="000000" w:themeColor="text1"/>
          <w:sz w:val="24"/>
          <w:szCs w:val="24"/>
        </w:rPr>
        <w:t xml:space="preserve">, </w:t>
      </w:r>
      <w:r w:rsidRPr="0014231C">
        <w:rPr>
          <w:rFonts w:ascii="Verdana" w:hAnsi="Verdana" w:cs="ArialMT"/>
          <w:b/>
          <w:color w:val="000000" w:themeColor="text1"/>
          <w:sz w:val="24"/>
          <w:szCs w:val="24"/>
        </w:rPr>
        <w:t>no mínimo,</w:t>
      </w:r>
      <w:r w:rsidRPr="0014231C">
        <w:rPr>
          <w:rFonts w:ascii="Verdana" w:hAnsi="Verdana" w:cs="ArialMT"/>
          <w:color w:val="000000" w:themeColor="text1"/>
          <w:sz w:val="24"/>
          <w:szCs w:val="24"/>
        </w:rPr>
        <w:t xml:space="preserve"> dos Deputados Estaduais (no caso, </w:t>
      </w:r>
      <w:r w:rsidRPr="0014231C">
        <w:rPr>
          <w:rFonts w:ascii="Verdana" w:hAnsi="Verdana" w:cs="ArialMT"/>
          <w:b/>
          <w:color w:val="000000" w:themeColor="text1"/>
          <w:sz w:val="24"/>
          <w:szCs w:val="24"/>
        </w:rPr>
        <w:t>quinze membros</w:t>
      </w:r>
      <w:r w:rsidRPr="0014231C">
        <w:rPr>
          <w:rFonts w:ascii="Verdana" w:hAnsi="Verdana" w:cs="ArialMT"/>
          <w:color w:val="000000" w:themeColor="text1"/>
          <w:sz w:val="24"/>
          <w:szCs w:val="24"/>
        </w:rPr>
        <w:t xml:space="preserve"> do Legislativo Estadual subscreveram a proposição legislativa), não havendo, portanto, objeções nesta fase do processo legislativo.</w:t>
      </w:r>
    </w:p>
    <w:p w:rsidR="00CB1697" w:rsidRPr="0014231C" w:rsidRDefault="00CB1697" w:rsidP="00CB1697">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t xml:space="preserve">Passado este ponto de análise, verifica-se que a proposta </w:t>
      </w:r>
      <w:r w:rsidRPr="0014231C">
        <w:rPr>
          <w:rFonts w:ascii="Verdana" w:hAnsi="Verdana" w:cs="ArialMT"/>
          <w:b/>
          <w:color w:val="000000" w:themeColor="text1"/>
          <w:sz w:val="24"/>
          <w:szCs w:val="24"/>
        </w:rPr>
        <w:t>não esbarra</w:t>
      </w:r>
      <w:r w:rsidRPr="0014231C">
        <w:rPr>
          <w:rFonts w:ascii="Verdana" w:hAnsi="Verdana" w:cs="ArialMT"/>
          <w:color w:val="000000" w:themeColor="text1"/>
          <w:sz w:val="24"/>
          <w:szCs w:val="24"/>
        </w:rPr>
        <w:t xml:space="preserve"> </w:t>
      </w:r>
      <w:r w:rsidRPr="0014231C">
        <w:rPr>
          <w:rFonts w:ascii="Verdana" w:hAnsi="Verdana" w:cs="ArialMT"/>
          <w:b/>
          <w:color w:val="000000" w:themeColor="text1"/>
          <w:sz w:val="24"/>
          <w:szCs w:val="24"/>
        </w:rPr>
        <w:t>nas</w:t>
      </w:r>
      <w:r w:rsidRPr="0014231C">
        <w:rPr>
          <w:rFonts w:ascii="Verdana" w:hAnsi="Verdana" w:cs="ArialMT"/>
          <w:color w:val="000000" w:themeColor="text1"/>
          <w:sz w:val="24"/>
          <w:szCs w:val="24"/>
        </w:rPr>
        <w:t xml:space="preserve"> </w:t>
      </w:r>
      <w:r w:rsidRPr="0014231C">
        <w:rPr>
          <w:rFonts w:ascii="Verdana" w:hAnsi="Verdana" w:cs="ArialMT"/>
          <w:b/>
          <w:color w:val="000000" w:themeColor="text1"/>
          <w:sz w:val="24"/>
          <w:szCs w:val="24"/>
        </w:rPr>
        <w:t>limitações ao Poder de Reforma</w:t>
      </w:r>
      <w:r w:rsidRPr="0014231C">
        <w:rPr>
          <w:rFonts w:ascii="Verdana" w:hAnsi="Verdana" w:cs="ArialMT"/>
          <w:color w:val="000000" w:themeColor="text1"/>
          <w:sz w:val="24"/>
          <w:szCs w:val="24"/>
        </w:rPr>
        <w:t xml:space="preserve"> contidas nos §§ 1° e 5°, do art. 41 da CE/1989, e no § 2º, do art. 259, do RIALE: não está em vigor nem intervenção federal, nem Estado de Defesa ou Estado de Sítio (anormalidades institucionais); e a matéria constante na PEC Estadual em comento pode ser apresentada porquanto não houve, na atual sessão legislativa, outra PEC Estadual rejeitada ou havida por prejudicada com o mesmo objeto.</w:t>
      </w:r>
    </w:p>
    <w:p w:rsidR="00CB1697" w:rsidRPr="0014231C" w:rsidRDefault="00CB1697" w:rsidP="00CB1697">
      <w:pPr>
        <w:autoSpaceDE w:val="0"/>
        <w:autoSpaceDN w:val="0"/>
        <w:adjustRightInd w:val="0"/>
        <w:spacing w:after="0" w:line="360" w:lineRule="auto"/>
        <w:ind w:firstLine="1134"/>
        <w:jc w:val="both"/>
        <w:rPr>
          <w:rFonts w:ascii="Verdana" w:hAnsi="Verdana" w:cs="ArialMT"/>
          <w:b/>
          <w:color w:val="000000" w:themeColor="text1"/>
          <w:sz w:val="24"/>
          <w:szCs w:val="24"/>
          <w:u w:val="single"/>
        </w:rPr>
      </w:pPr>
      <w:r w:rsidRPr="0014231C">
        <w:rPr>
          <w:rFonts w:ascii="Verdana" w:hAnsi="Verdana" w:cs="ArialMT"/>
          <w:b/>
          <w:color w:val="000000" w:themeColor="text1"/>
          <w:sz w:val="24"/>
          <w:szCs w:val="24"/>
          <w:u w:val="single"/>
        </w:rPr>
        <w:t>Em que pese haver legitimidade dos parlamentares para modificar a Constituição Estadual, há restrições que obstam a aprovação da matéria.</w:t>
      </w:r>
    </w:p>
    <w:p w:rsidR="00CB1697" w:rsidRPr="0014231C" w:rsidRDefault="00CB1697" w:rsidP="00CB1697">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t>A Constituição Federal (e na mesma linha, a Constituição Estadual do Maranhão) apresenta determinadas matérias de iniciativa privativa (reservada ou exclusiva) de ente/agente determinado. Destaca-se, destes casos, a exclusividade ao Chefe do Executivo para a deflagração do processo legislativo (leis complementares e ordinárias):</w:t>
      </w:r>
    </w:p>
    <w:p w:rsidR="00CB1697" w:rsidRPr="0014231C" w:rsidRDefault="00CB1697" w:rsidP="00CB1697">
      <w:pPr>
        <w:autoSpaceDE w:val="0"/>
        <w:autoSpaceDN w:val="0"/>
        <w:adjustRightInd w:val="0"/>
        <w:spacing w:after="0" w:line="360" w:lineRule="auto"/>
        <w:ind w:firstLine="1134"/>
        <w:jc w:val="both"/>
        <w:rPr>
          <w:rFonts w:ascii="Verdana" w:hAnsi="Verdana" w:cs="ArialMT"/>
          <w:color w:val="000000" w:themeColor="text1"/>
          <w:sz w:val="24"/>
          <w:szCs w:val="24"/>
        </w:rPr>
      </w:pPr>
    </w:p>
    <w:p w:rsidR="00CB1697" w:rsidRPr="0014231C" w:rsidRDefault="00CB1697" w:rsidP="00CB1697">
      <w:pPr>
        <w:autoSpaceDE w:val="0"/>
        <w:autoSpaceDN w:val="0"/>
        <w:adjustRightInd w:val="0"/>
        <w:spacing w:after="0" w:line="240" w:lineRule="auto"/>
        <w:ind w:left="2268"/>
        <w:jc w:val="both"/>
        <w:rPr>
          <w:rFonts w:ascii="Verdana" w:hAnsi="Verdana" w:cs="ArialMT"/>
          <w:b/>
          <w:sz w:val="20"/>
          <w:szCs w:val="20"/>
        </w:rPr>
      </w:pPr>
      <w:r w:rsidRPr="0014231C">
        <w:rPr>
          <w:rFonts w:ascii="Verdana" w:hAnsi="Verdana" w:cs="ArialMT"/>
          <w:b/>
          <w:sz w:val="20"/>
          <w:szCs w:val="20"/>
        </w:rPr>
        <w:t>Constituição Federal.</w:t>
      </w:r>
    </w:p>
    <w:p w:rsidR="00CB1697" w:rsidRPr="0014231C" w:rsidRDefault="00CB1697" w:rsidP="00CB1697">
      <w:pPr>
        <w:autoSpaceDE w:val="0"/>
        <w:autoSpaceDN w:val="0"/>
        <w:adjustRightInd w:val="0"/>
        <w:spacing w:after="0" w:line="240" w:lineRule="auto"/>
        <w:ind w:left="2268"/>
        <w:jc w:val="both"/>
        <w:rPr>
          <w:rFonts w:ascii="Verdana" w:hAnsi="Verdana" w:cs="ArialMT"/>
          <w:sz w:val="20"/>
          <w:szCs w:val="20"/>
        </w:rPr>
      </w:pPr>
      <w:r w:rsidRPr="0014231C">
        <w:rPr>
          <w:rFonts w:ascii="Verdana" w:hAnsi="Verdana" w:cs="ArialMT"/>
          <w:b/>
          <w:sz w:val="20"/>
          <w:szCs w:val="20"/>
        </w:rPr>
        <w:t>Art. 61.</w:t>
      </w:r>
      <w:r w:rsidRPr="0014231C">
        <w:rPr>
          <w:rFonts w:ascii="Verdana" w:hAnsi="Verdana" w:cs="ArialMT"/>
          <w:sz w:val="20"/>
          <w:szCs w:val="20"/>
        </w:rPr>
        <w:t xml:space="preserve"> [...]</w:t>
      </w:r>
    </w:p>
    <w:p w:rsidR="00CB1697" w:rsidRPr="0014231C" w:rsidRDefault="00CB1697" w:rsidP="00CB1697">
      <w:pPr>
        <w:autoSpaceDE w:val="0"/>
        <w:autoSpaceDN w:val="0"/>
        <w:adjustRightInd w:val="0"/>
        <w:spacing w:after="0" w:line="240" w:lineRule="auto"/>
        <w:ind w:left="2268"/>
        <w:jc w:val="both"/>
        <w:rPr>
          <w:rFonts w:ascii="Verdana" w:hAnsi="Verdana" w:cs="ArialMT"/>
          <w:sz w:val="20"/>
          <w:szCs w:val="20"/>
        </w:rPr>
      </w:pPr>
      <w:bookmarkStart w:id="0" w:name="art61§1"/>
      <w:bookmarkEnd w:id="0"/>
      <w:r w:rsidRPr="0014231C">
        <w:rPr>
          <w:rFonts w:ascii="Verdana" w:hAnsi="Verdana" w:cs="ArialMT"/>
          <w:sz w:val="20"/>
          <w:szCs w:val="20"/>
        </w:rPr>
        <w:t>§ 1º São de iniciativa privativa do Presidente da República as leis que:</w:t>
      </w:r>
    </w:p>
    <w:p w:rsidR="00CB1697" w:rsidRPr="0014231C" w:rsidRDefault="00CB1697" w:rsidP="00CB1697">
      <w:pPr>
        <w:autoSpaceDE w:val="0"/>
        <w:autoSpaceDN w:val="0"/>
        <w:adjustRightInd w:val="0"/>
        <w:spacing w:after="0" w:line="240" w:lineRule="auto"/>
        <w:ind w:left="2268"/>
        <w:jc w:val="both"/>
        <w:rPr>
          <w:rFonts w:ascii="Verdana" w:hAnsi="Verdana" w:cs="ArialMT"/>
          <w:sz w:val="20"/>
          <w:szCs w:val="20"/>
        </w:rPr>
      </w:pPr>
      <w:bookmarkStart w:id="1" w:name="art61§1i"/>
      <w:bookmarkEnd w:id="1"/>
      <w:r w:rsidRPr="0014231C">
        <w:rPr>
          <w:rFonts w:ascii="Verdana" w:hAnsi="Verdana" w:cs="ArialMT"/>
          <w:sz w:val="20"/>
          <w:szCs w:val="20"/>
        </w:rPr>
        <w:t xml:space="preserve">I - </w:t>
      </w:r>
      <w:proofErr w:type="gramStart"/>
      <w:r w:rsidRPr="0014231C">
        <w:rPr>
          <w:rFonts w:ascii="Verdana" w:hAnsi="Verdana" w:cs="ArialMT"/>
          <w:sz w:val="20"/>
          <w:szCs w:val="20"/>
        </w:rPr>
        <w:t>fixem ou modifiquem</w:t>
      </w:r>
      <w:proofErr w:type="gramEnd"/>
      <w:r w:rsidRPr="0014231C">
        <w:rPr>
          <w:rFonts w:ascii="Verdana" w:hAnsi="Verdana" w:cs="ArialMT"/>
          <w:sz w:val="20"/>
          <w:szCs w:val="20"/>
        </w:rPr>
        <w:t xml:space="preserve"> os efetivos das Forças Armadas;</w:t>
      </w:r>
    </w:p>
    <w:p w:rsidR="00CB1697" w:rsidRPr="0014231C" w:rsidRDefault="00CB1697" w:rsidP="00CB1697">
      <w:pPr>
        <w:autoSpaceDE w:val="0"/>
        <w:autoSpaceDN w:val="0"/>
        <w:adjustRightInd w:val="0"/>
        <w:spacing w:after="0" w:line="240" w:lineRule="auto"/>
        <w:ind w:left="2268"/>
        <w:jc w:val="both"/>
        <w:rPr>
          <w:rFonts w:ascii="Verdana" w:hAnsi="Verdana" w:cs="ArialMT"/>
          <w:sz w:val="20"/>
          <w:szCs w:val="20"/>
        </w:rPr>
      </w:pPr>
      <w:bookmarkStart w:id="2" w:name="61§1II"/>
      <w:bookmarkEnd w:id="2"/>
      <w:r w:rsidRPr="0014231C">
        <w:rPr>
          <w:rFonts w:ascii="Verdana" w:hAnsi="Verdana" w:cs="ArialMT"/>
          <w:sz w:val="20"/>
          <w:szCs w:val="20"/>
        </w:rPr>
        <w:t xml:space="preserve">II - </w:t>
      </w:r>
      <w:proofErr w:type="gramStart"/>
      <w:r w:rsidRPr="0014231C">
        <w:rPr>
          <w:rFonts w:ascii="Verdana" w:hAnsi="Verdana" w:cs="ArialMT"/>
          <w:sz w:val="20"/>
          <w:szCs w:val="20"/>
        </w:rPr>
        <w:t>disponham</w:t>
      </w:r>
      <w:proofErr w:type="gramEnd"/>
      <w:r w:rsidRPr="0014231C">
        <w:rPr>
          <w:rFonts w:ascii="Verdana" w:hAnsi="Verdana" w:cs="ArialMT"/>
          <w:sz w:val="20"/>
          <w:szCs w:val="20"/>
        </w:rPr>
        <w:t xml:space="preserve"> sobre:</w:t>
      </w:r>
    </w:p>
    <w:p w:rsidR="00CB1697" w:rsidRPr="0014231C" w:rsidRDefault="00CB1697" w:rsidP="00CB1697">
      <w:pPr>
        <w:autoSpaceDE w:val="0"/>
        <w:autoSpaceDN w:val="0"/>
        <w:adjustRightInd w:val="0"/>
        <w:spacing w:after="0" w:line="240" w:lineRule="auto"/>
        <w:ind w:left="2268"/>
        <w:jc w:val="both"/>
        <w:rPr>
          <w:rFonts w:ascii="Verdana" w:hAnsi="Verdana" w:cs="ArialMT"/>
          <w:sz w:val="20"/>
          <w:szCs w:val="20"/>
        </w:rPr>
      </w:pPr>
      <w:bookmarkStart w:id="3" w:name="61§1IIA"/>
      <w:bookmarkEnd w:id="3"/>
      <w:r w:rsidRPr="0014231C">
        <w:rPr>
          <w:rFonts w:ascii="Verdana" w:hAnsi="Verdana" w:cs="ArialMT"/>
          <w:sz w:val="20"/>
          <w:szCs w:val="20"/>
        </w:rPr>
        <w:t>a) criação de cargos, funções ou empregos públicos na administração direta e autárquica ou aumento de sua remuneração;</w:t>
      </w:r>
    </w:p>
    <w:p w:rsidR="00CB1697" w:rsidRPr="0014231C" w:rsidRDefault="00CB1697" w:rsidP="00CB1697">
      <w:pPr>
        <w:autoSpaceDE w:val="0"/>
        <w:autoSpaceDN w:val="0"/>
        <w:adjustRightInd w:val="0"/>
        <w:spacing w:after="0" w:line="240" w:lineRule="auto"/>
        <w:ind w:left="2268"/>
        <w:jc w:val="both"/>
        <w:rPr>
          <w:rFonts w:ascii="Verdana" w:hAnsi="Verdana" w:cs="ArialMT"/>
          <w:sz w:val="20"/>
          <w:szCs w:val="20"/>
        </w:rPr>
      </w:pPr>
      <w:bookmarkStart w:id="4" w:name="art61§1iib"/>
      <w:bookmarkEnd w:id="4"/>
      <w:r w:rsidRPr="0014231C">
        <w:rPr>
          <w:rFonts w:ascii="Verdana" w:hAnsi="Verdana" w:cs="ArialMT"/>
          <w:sz w:val="20"/>
          <w:szCs w:val="20"/>
        </w:rPr>
        <w:t>b) organização administrativa e judiciária, matéria tributária e orçamentária, serviços públicos e pessoal da administração dos Territórios;</w:t>
      </w:r>
    </w:p>
    <w:p w:rsidR="00CB1697" w:rsidRPr="0014231C" w:rsidRDefault="00CB1697" w:rsidP="00CB1697">
      <w:pPr>
        <w:autoSpaceDE w:val="0"/>
        <w:autoSpaceDN w:val="0"/>
        <w:adjustRightInd w:val="0"/>
        <w:spacing w:after="0" w:line="240" w:lineRule="auto"/>
        <w:ind w:left="2268"/>
        <w:jc w:val="both"/>
        <w:rPr>
          <w:rFonts w:ascii="Verdana" w:hAnsi="Verdana" w:cs="ArialMT"/>
          <w:b/>
          <w:sz w:val="20"/>
          <w:szCs w:val="20"/>
          <w:u w:val="single"/>
        </w:rPr>
      </w:pPr>
      <w:bookmarkStart w:id="5" w:name="art61§1iic."/>
      <w:bookmarkStart w:id="6" w:name="art61§1iic"/>
      <w:bookmarkEnd w:id="5"/>
      <w:bookmarkEnd w:id="6"/>
      <w:r w:rsidRPr="0014231C">
        <w:rPr>
          <w:rFonts w:ascii="Verdana" w:hAnsi="Verdana" w:cs="ArialMT"/>
          <w:b/>
          <w:sz w:val="20"/>
          <w:szCs w:val="20"/>
          <w:u w:val="single"/>
        </w:rPr>
        <w:lastRenderedPageBreak/>
        <w:t xml:space="preserve">c) servidores públicos da União e Territórios, seu regime jurídico, provimento de cargos, estabilidade e aposentadoria; </w:t>
      </w:r>
      <w:hyperlink r:id="rId6" w:anchor="art3" w:history="1">
        <w:r w:rsidRPr="0014231C">
          <w:rPr>
            <w:rStyle w:val="Hyperlink"/>
            <w:rFonts w:ascii="Verdana" w:hAnsi="Verdana" w:cs="ArialMT"/>
            <w:b/>
            <w:sz w:val="20"/>
            <w:szCs w:val="20"/>
          </w:rPr>
          <w:t>(Redação dada pela Emenda Constitucional nº 18, de 1998)</w:t>
        </w:r>
      </w:hyperlink>
    </w:p>
    <w:p w:rsidR="00CB1697" w:rsidRPr="0014231C" w:rsidRDefault="00CB1697" w:rsidP="00CB1697">
      <w:pPr>
        <w:autoSpaceDE w:val="0"/>
        <w:autoSpaceDN w:val="0"/>
        <w:adjustRightInd w:val="0"/>
        <w:spacing w:after="0" w:line="240" w:lineRule="auto"/>
        <w:ind w:left="2268"/>
        <w:jc w:val="both"/>
        <w:rPr>
          <w:rFonts w:ascii="Verdana" w:hAnsi="Verdana" w:cs="ArialMT"/>
          <w:sz w:val="20"/>
          <w:szCs w:val="20"/>
        </w:rPr>
      </w:pPr>
      <w:bookmarkStart w:id="7" w:name="art61§1iid"/>
      <w:bookmarkEnd w:id="7"/>
      <w:r w:rsidRPr="0014231C">
        <w:rPr>
          <w:rFonts w:ascii="Verdana" w:hAnsi="Verdana" w:cs="ArialMT"/>
          <w:sz w:val="20"/>
          <w:szCs w:val="20"/>
        </w:rPr>
        <w:t>d) organização do Ministério Público e da Defensoria Pública da União, bem como normas gerais para a organização do Ministério Público e da Defensoria Pública dos Estados, do Distrito Federal e dos Territórios;</w:t>
      </w:r>
    </w:p>
    <w:p w:rsidR="00CB1697" w:rsidRPr="0014231C" w:rsidRDefault="00CB1697" w:rsidP="00CB1697">
      <w:pPr>
        <w:autoSpaceDE w:val="0"/>
        <w:autoSpaceDN w:val="0"/>
        <w:adjustRightInd w:val="0"/>
        <w:spacing w:after="0" w:line="240" w:lineRule="auto"/>
        <w:ind w:left="2268"/>
        <w:jc w:val="both"/>
        <w:rPr>
          <w:rFonts w:ascii="Verdana" w:hAnsi="Verdana" w:cs="ArialMT"/>
          <w:sz w:val="20"/>
          <w:szCs w:val="20"/>
        </w:rPr>
      </w:pPr>
      <w:bookmarkStart w:id="8" w:name="165§1IIE"/>
      <w:bookmarkStart w:id="9" w:name="art61§1iie"/>
      <w:bookmarkEnd w:id="8"/>
      <w:bookmarkEnd w:id="9"/>
      <w:r w:rsidRPr="0014231C">
        <w:rPr>
          <w:rFonts w:ascii="Verdana" w:hAnsi="Verdana" w:cs="ArialMT"/>
          <w:sz w:val="20"/>
          <w:szCs w:val="20"/>
        </w:rPr>
        <w:t xml:space="preserve">e) criação e extinção de Ministérios e órgãos da administração pública, observado o disposto no art. 84, VI; </w:t>
      </w:r>
      <w:hyperlink r:id="rId7" w:anchor="art1" w:history="1">
        <w:r w:rsidRPr="0014231C">
          <w:rPr>
            <w:rStyle w:val="Hyperlink"/>
            <w:rFonts w:ascii="Verdana" w:hAnsi="Verdana" w:cs="ArialMT"/>
            <w:sz w:val="20"/>
            <w:szCs w:val="20"/>
          </w:rPr>
          <w:t>(Redação dada pela Emenda Constitucional nº 32, de 2001)</w:t>
        </w:r>
      </w:hyperlink>
    </w:p>
    <w:p w:rsidR="00CB1697" w:rsidRPr="0014231C" w:rsidRDefault="00CB1697" w:rsidP="00CB1697">
      <w:pPr>
        <w:autoSpaceDE w:val="0"/>
        <w:autoSpaceDN w:val="0"/>
        <w:adjustRightInd w:val="0"/>
        <w:spacing w:after="0" w:line="240" w:lineRule="auto"/>
        <w:ind w:left="2268"/>
        <w:jc w:val="both"/>
        <w:rPr>
          <w:rFonts w:ascii="Verdana" w:hAnsi="Verdana" w:cs="ArialMT"/>
          <w:sz w:val="20"/>
          <w:szCs w:val="20"/>
        </w:rPr>
      </w:pPr>
      <w:bookmarkStart w:id="10" w:name="art61§1iif"/>
      <w:bookmarkEnd w:id="10"/>
      <w:r w:rsidRPr="0014231C">
        <w:rPr>
          <w:rFonts w:ascii="Verdana" w:hAnsi="Verdana" w:cs="ArialMT"/>
          <w:sz w:val="20"/>
          <w:szCs w:val="20"/>
        </w:rPr>
        <w:t xml:space="preserve">f) militares das Forças Armadas, seu regime jurídico, provimento de cargos, promoções, estabilidade, remuneração, reforma e transferência para a reserva. </w:t>
      </w:r>
      <w:hyperlink r:id="rId8" w:anchor="art3" w:history="1">
        <w:r w:rsidRPr="0014231C">
          <w:rPr>
            <w:rStyle w:val="Hyperlink"/>
            <w:rFonts w:ascii="Verdana" w:hAnsi="Verdana" w:cs="ArialMT"/>
            <w:sz w:val="20"/>
            <w:szCs w:val="20"/>
          </w:rPr>
          <w:t>(Incluída pela Emenda Constitucional nº 18, de 1998)</w:t>
        </w:r>
      </w:hyperlink>
    </w:p>
    <w:p w:rsidR="00CB1697" w:rsidRPr="0014231C" w:rsidRDefault="00CB1697" w:rsidP="00CB1697">
      <w:pPr>
        <w:autoSpaceDE w:val="0"/>
        <w:autoSpaceDN w:val="0"/>
        <w:adjustRightInd w:val="0"/>
        <w:spacing w:after="0" w:line="240" w:lineRule="auto"/>
        <w:ind w:left="2268"/>
        <w:jc w:val="both"/>
        <w:rPr>
          <w:rFonts w:ascii="Verdana" w:hAnsi="Verdana" w:cs="ArialMT"/>
          <w:sz w:val="20"/>
          <w:szCs w:val="20"/>
        </w:rPr>
      </w:pPr>
    </w:p>
    <w:p w:rsidR="00CB1697" w:rsidRPr="0014231C" w:rsidRDefault="00CB1697" w:rsidP="00CB1697">
      <w:pPr>
        <w:autoSpaceDE w:val="0"/>
        <w:autoSpaceDN w:val="0"/>
        <w:adjustRightInd w:val="0"/>
        <w:spacing w:after="0" w:line="240" w:lineRule="auto"/>
        <w:ind w:left="2268"/>
        <w:jc w:val="both"/>
        <w:rPr>
          <w:rFonts w:ascii="Verdana" w:hAnsi="Verdana" w:cs="ArialMT"/>
          <w:b/>
          <w:sz w:val="20"/>
          <w:szCs w:val="20"/>
        </w:rPr>
      </w:pPr>
      <w:r w:rsidRPr="0014231C">
        <w:rPr>
          <w:rFonts w:ascii="Verdana" w:hAnsi="Verdana" w:cs="ArialMT"/>
          <w:b/>
          <w:sz w:val="20"/>
          <w:szCs w:val="20"/>
        </w:rPr>
        <w:t>Constituição Estadual.</w:t>
      </w:r>
    </w:p>
    <w:p w:rsidR="00CB1697" w:rsidRPr="0014231C" w:rsidRDefault="00CB1697" w:rsidP="00CB1697">
      <w:pPr>
        <w:autoSpaceDE w:val="0"/>
        <w:autoSpaceDN w:val="0"/>
        <w:adjustRightInd w:val="0"/>
        <w:spacing w:after="0" w:line="240" w:lineRule="auto"/>
        <w:ind w:left="2268"/>
        <w:jc w:val="both"/>
        <w:rPr>
          <w:rFonts w:ascii="Verdana" w:hAnsi="Verdana" w:cs="ArialMT"/>
          <w:sz w:val="20"/>
          <w:szCs w:val="20"/>
        </w:rPr>
      </w:pPr>
      <w:r w:rsidRPr="0014231C">
        <w:rPr>
          <w:rFonts w:ascii="Verdana" w:hAnsi="Verdana" w:cs="ArialMT"/>
          <w:b/>
          <w:bCs/>
          <w:sz w:val="20"/>
          <w:szCs w:val="20"/>
        </w:rPr>
        <w:t xml:space="preserve">Art. 43. </w:t>
      </w:r>
      <w:r w:rsidRPr="0014231C">
        <w:rPr>
          <w:rFonts w:ascii="Verdana" w:hAnsi="Verdana" w:cs="ArialMT"/>
          <w:sz w:val="20"/>
          <w:szCs w:val="20"/>
        </w:rPr>
        <w:t>São de iniciativa privativa do Governador do Estado às leis que disponham sobre:</w:t>
      </w:r>
    </w:p>
    <w:p w:rsidR="00CB1697" w:rsidRPr="0014231C" w:rsidRDefault="00CB1697" w:rsidP="00CB1697">
      <w:pPr>
        <w:autoSpaceDE w:val="0"/>
        <w:autoSpaceDN w:val="0"/>
        <w:adjustRightInd w:val="0"/>
        <w:spacing w:after="0" w:line="240" w:lineRule="auto"/>
        <w:ind w:left="2268"/>
        <w:jc w:val="both"/>
        <w:rPr>
          <w:rFonts w:ascii="Verdana" w:hAnsi="Verdana" w:cs="ArialMT"/>
          <w:sz w:val="20"/>
          <w:szCs w:val="20"/>
        </w:rPr>
      </w:pPr>
      <w:r w:rsidRPr="0014231C">
        <w:rPr>
          <w:rFonts w:ascii="Verdana" w:hAnsi="Verdana" w:cs="ArialMT"/>
          <w:bCs/>
          <w:sz w:val="20"/>
          <w:szCs w:val="20"/>
        </w:rPr>
        <w:t xml:space="preserve">I – </w:t>
      </w:r>
      <w:proofErr w:type="gramStart"/>
      <w:r w:rsidRPr="0014231C">
        <w:rPr>
          <w:rFonts w:ascii="Verdana" w:hAnsi="Verdana" w:cs="ArialMT"/>
          <w:sz w:val="20"/>
          <w:szCs w:val="20"/>
        </w:rPr>
        <w:t>fixação e alteração</w:t>
      </w:r>
      <w:proofErr w:type="gramEnd"/>
      <w:r w:rsidRPr="0014231C">
        <w:rPr>
          <w:rFonts w:ascii="Verdana" w:hAnsi="Verdana" w:cs="ArialMT"/>
          <w:sz w:val="20"/>
          <w:szCs w:val="20"/>
        </w:rPr>
        <w:t xml:space="preserve"> dos efetivos da Policia Militar e do Corpo de Bombeiros Militares;</w:t>
      </w:r>
    </w:p>
    <w:p w:rsidR="00CB1697" w:rsidRPr="0014231C" w:rsidRDefault="00CB1697" w:rsidP="00CB1697">
      <w:pPr>
        <w:autoSpaceDE w:val="0"/>
        <w:autoSpaceDN w:val="0"/>
        <w:adjustRightInd w:val="0"/>
        <w:spacing w:after="0" w:line="240" w:lineRule="auto"/>
        <w:ind w:left="2268"/>
        <w:jc w:val="both"/>
        <w:rPr>
          <w:rFonts w:ascii="Verdana" w:hAnsi="Verdana" w:cs="ArialMT"/>
          <w:sz w:val="20"/>
          <w:szCs w:val="20"/>
        </w:rPr>
      </w:pPr>
      <w:r w:rsidRPr="0014231C">
        <w:rPr>
          <w:rFonts w:ascii="Verdana" w:hAnsi="Verdana" w:cs="ArialMT"/>
          <w:bCs/>
          <w:sz w:val="20"/>
          <w:szCs w:val="20"/>
        </w:rPr>
        <w:t xml:space="preserve">II – </w:t>
      </w:r>
      <w:proofErr w:type="gramStart"/>
      <w:r w:rsidRPr="0014231C">
        <w:rPr>
          <w:rFonts w:ascii="Verdana" w:hAnsi="Verdana" w:cs="ArialMT"/>
          <w:sz w:val="20"/>
          <w:szCs w:val="20"/>
        </w:rPr>
        <w:t>criação</w:t>
      </w:r>
      <w:proofErr w:type="gramEnd"/>
      <w:r w:rsidRPr="0014231C">
        <w:rPr>
          <w:rFonts w:ascii="Verdana" w:hAnsi="Verdana" w:cs="ArialMT"/>
          <w:sz w:val="20"/>
          <w:szCs w:val="20"/>
        </w:rPr>
        <w:t xml:space="preserve"> de cargos, funções ou empregos públicos na administração direta e autárquica ou aumento de sua remuneração;</w:t>
      </w:r>
    </w:p>
    <w:p w:rsidR="00CB1697" w:rsidRPr="0014231C" w:rsidRDefault="00CB1697" w:rsidP="00CB1697">
      <w:pPr>
        <w:autoSpaceDE w:val="0"/>
        <w:autoSpaceDN w:val="0"/>
        <w:adjustRightInd w:val="0"/>
        <w:spacing w:after="0" w:line="240" w:lineRule="auto"/>
        <w:ind w:left="2268"/>
        <w:jc w:val="both"/>
        <w:rPr>
          <w:rFonts w:ascii="Verdana" w:hAnsi="Verdana" w:cs="ArialMT"/>
          <w:sz w:val="20"/>
          <w:szCs w:val="20"/>
        </w:rPr>
      </w:pPr>
      <w:r w:rsidRPr="0014231C">
        <w:rPr>
          <w:rFonts w:ascii="Verdana" w:hAnsi="Verdana" w:cs="ArialMT"/>
          <w:bCs/>
          <w:sz w:val="20"/>
          <w:szCs w:val="20"/>
        </w:rPr>
        <w:t xml:space="preserve">III – </w:t>
      </w:r>
      <w:r w:rsidRPr="0014231C">
        <w:rPr>
          <w:rFonts w:ascii="Verdana" w:hAnsi="Verdana" w:cs="ArialMT"/>
          <w:sz w:val="20"/>
          <w:szCs w:val="20"/>
        </w:rPr>
        <w:t xml:space="preserve">organização administrativa e matéria orçamentária. </w:t>
      </w:r>
      <w:r w:rsidRPr="0014231C">
        <w:rPr>
          <w:rFonts w:ascii="Verdana" w:hAnsi="Verdana" w:cs="ArialMT"/>
          <w:bCs/>
          <w:sz w:val="20"/>
          <w:szCs w:val="20"/>
        </w:rPr>
        <w:t>(</w:t>
      </w:r>
      <w:proofErr w:type="gramStart"/>
      <w:r w:rsidRPr="0014231C">
        <w:rPr>
          <w:rFonts w:ascii="Verdana" w:hAnsi="Verdana" w:cs="ArialMT"/>
          <w:iCs/>
          <w:sz w:val="20"/>
          <w:szCs w:val="20"/>
        </w:rPr>
        <w:t>modificado</w:t>
      </w:r>
      <w:proofErr w:type="gramEnd"/>
      <w:r w:rsidRPr="0014231C">
        <w:rPr>
          <w:rFonts w:ascii="Verdana" w:hAnsi="Verdana" w:cs="ArialMT"/>
          <w:iCs/>
          <w:sz w:val="20"/>
          <w:szCs w:val="20"/>
        </w:rPr>
        <w:t xml:space="preserve"> pela Emenda à Constituição nº 056 de 17/12/2008 e nº 068 de 28/08/2013</w:t>
      </w:r>
      <w:r w:rsidRPr="0014231C">
        <w:rPr>
          <w:rFonts w:ascii="Verdana" w:hAnsi="Verdana" w:cs="ArialMT"/>
          <w:sz w:val="20"/>
          <w:szCs w:val="20"/>
        </w:rPr>
        <w:t>)</w:t>
      </w:r>
    </w:p>
    <w:p w:rsidR="00CB1697" w:rsidRPr="0014231C" w:rsidRDefault="00CB1697" w:rsidP="00CB1697">
      <w:pPr>
        <w:autoSpaceDE w:val="0"/>
        <w:autoSpaceDN w:val="0"/>
        <w:adjustRightInd w:val="0"/>
        <w:spacing w:after="0" w:line="240" w:lineRule="auto"/>
        <w:ind w:left="2268"/>
        <w:jc w:val="both"/>
        <w:rPr>
          <w:rFonts w:ascii="Verdana" w:hAnsi="Verdana" w:cs="ArialMT"/>
          <w:b/>
          <w:sz w:val="20"/>
          <w:szCs w:val="20"/>
          <w:u w:val="single"/>
        </w:rPr>
      </w:pPr>
      <w:r w:rsidRPr="0014231C">
        <w:rPr>
          <w:rFonts w:ascii="Verdana" w:hAnsi="Verdana" w:cs="ArialMT"/>
          <w:b/>
          <w:bCs/>
          <w:sz w:val="20"/>
          <w:szCs w:val="20"/>
          <w:u w:val="single"/>
        </w:rPr>
        <w:t xml:space="preserve">IV - </w:t>
      </w:r>
      <w:proofErr w:type="gramStart"/>
      <w:r w:rsidRPr="0014231C">
        <w:rPr>
          <w:rFonts w:ascii="Verdana" w:hAnsi="Verdana" w:cs="ArialMT"/>
          <w:b/>
          <w:sz w:val="20"/>
          <w:szCs w:val="20"/>
          <w:u w:val="single"/>
        </w:rPr>
        <w:t>servidores</w:t>
      </w:r>
      <w:proofErr w:type="gramEnd"/>
      <w:r w:rsidRPr="0014231C">
        <w:rPr>
          <w:rFonts w:ascii="Verdana" w:hAnsi="Verdana" w:cs="ArialMT"/>
          <w:b/>
          <w:sz w:val="20"/>
          <w:szCs w:val="20"/>
          <w:u w:val="single"/>
        </w:rPr>
        <w:t xml:space="preserve"> públicos do Estado, seu regime jurídico, provimento de cargos, estabilidade e aposentadoria de civis, reforma e transferência de militares para a inatividade;</w:t>
      </w:r>
    </w:p>
    <w:p w:rsidR="00CB1697" w:rsidRPr="0014231C" w:rsidRDefault="00CB1697" w:rsidP="00CB1697">
      <w:pPr>
        <w:autoSpaceDE w:val="0"/>
        <w:autoSpaceDN w:val="0"/>
        <w:adjustRightInd w:val="0"/>
        <w:spacing w:after="0" w:line="240" w:lineRule="auto"/>
        <w:ind w:left="2268"/>
        <w:jc w:val="both"/>
        <w:rPr>
          <w:rFonts w:ascii="Verdana" w:hAnsi="Verdana" w:cs="ArialMT"/>
          <w:sz w:val="20"/>
          <w:szCs w:val="20"/>
        </w:rPr>
      </w:pPr>
      <w:r w:rsidRPr="0014231C">
        <w:rPr>
          <w:rFonts w:ascii="Verdana" w:hAnsi="Verdana" w:cs="ArialMT"/>
          <w:bCs/>
          <w:sz w:val="20"/>
          <w:szCs w:val="20"/>
        </w:rPr>
        <w:t xml:space="preserve">V – </w:t>
      </w:r>
      <w:proofErr w:type="gramStart"/>
      <w:r w:rsidRPr="0014231C">
        <w:rPr>
          <w:rFonts w:ascii="Verdana" w:hAnsi="Verdana" w:cs="ArialMT"/>
          <w:sz w:val="20"/>
          <w:szCs w:val="20"/>
        </w:rPr>
        <w:t>criação, estruturação e atribuições</w:t>
      </w:r>
      <w:proofErr w:type="gramEnd"/>
      <w:r w:rsidRPr="0014231C">
        <w:rPr>
          <w:rFonts w:ascii="Verdana" w:hAnsi="Verdana" w:cs="ArialMT"/>
          <w:sz w:val="20"/>
          <w:szCs w:val="20"/>
        </w:rPr>
        <w:t xml:space="preserve"> das Secretárias de Estado ou órgãos equivalentes e outros órgãos da administração pública estadual. (</w:t>
      </w:r>
      <w:proofErr w:type="gramStart"/>
      <w:r w:rsidRPr="0014231C">
        <w:rPr>
          <w:rFonts w:ascii="Verdana" w:hAnsi="Verdana" w:cs="ArialMT"/>
          <w:iCs/>
          <w:sz w:val="20"/>
          <w:szCs w:val="20"/>
        </w:rPr>
        <w:t>acrescido</w:t>
      </w:r>
      <w:proofErr w:type="gramEnd"/>
      <w:r w:rsidRPr="0014231C">
        <w:rPr>
          <w:rFonts w:ascii="Verdana" w:hAnsi="Verdana" w:cs="ArialMT"/>
          <w:iCs/>
          <w:sz w:val="20"/>
          <w:szCs w:val="20"/>
        </w:rPr>
        <w:t xml:space="preserve"> pela Emenda à Constituição nº 023, de 18/12/1998</w:t>
      </w:r>
      <w:r w:rsidRPr="0014231C">
        <w:rPr>
          <w:rFonts w:ascii="Verdana" w:hAnsi="Verdana" w:cs="ArialMT"/>
          <w:sz w:val="20"/>
          <w:szCs w:val="20"/>
        </w:rPr>
        <w:t>)</w:t>
      </w:r>
    </w:p>
    <w:p w:rsidR="00CB1697" w:rsidRPr="0014231C" w:rsidRDefault="00CB1697" w:rsidP="00CB1697">
      <w:pPr>
        <w:autoSpaceDE w:val="0"/>
        <w:autoSpaceDN w:val="0"/>
        <w:adjustRightInd w:val="0"/>
        <w:spacing w:after="0" w:line="360" w:lineRule="auto"/>
        <w:ind w:firstLine="1134"/>
        <w:jc w:val="both"/>
        <w:rPr>
          <w:rFonts w:ascii="Verdana" w:hAnsi="Verdana" w:cs="ArialMT"/>
          <w:color w:val="000000" w:themeColor="text1"/>
          <w:sz w:val="24"/>
          <w:szCs w:val="24"/>
        </w:rPr>
      </w:pPr>
    </w:p>
    <w:p w:rsidR="00CB1697" w:rsidRPr="0014231C" w:rsidRDefault="00CB1697" w:rsidP="00CB1697">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t>Nota-se que,</w:t>
      </w:r>
      <w:r w:rsidRPr="0014231C">
        <w:rPr>
          <w:rFonts w:ascii="Verdana" w:hAnsi="Verdana" w:cs="Helvetica"/>
          <w:color w:val="000000"/>
          <w:sz w:val="24"/>
          <w:szCs w:val="24"/>
          <w:shd w:val="clear" w:color="auto" w:fill="FFFFFF"/>
        </w:rPr>
        <w:t xml:space="preserve"> </w:t>
      </w:r>
      <w:r w:rsidRPr="0014231C">
        <w:rPr>
          <w:rFonts w:ascii="Verdana" w:hAnsi="Verdana" w:cs="ArialMT"/>
          <w:color w:val="000000" w:themeColor="text1"/>
          <w:sz w:val="24"/>
          <w:szCs w:val="24"/>
        </w:rPr>
        <w:t xml:space="preserve">diferentemente das emendas à Constituição – que, preservada a iniciativa, podem tratar, em regra, de qualquer assunto (observadas as limitações materiais) –, a Constituição Federal apresentou um rol de matérias que somente podem ser propostas pelo Chefe do Poder Executivo, dentre as quais está a temática dos </w:t>
      </w:r>
      <w:r w:rsidRPr="0014231C">
        <w:rPr>
          <w:rFonts w:ascii="Verdana" w:hAnsi="Verdana" w:cs="ArialMT"/>
          <w:b/>
          <w:color w:val="000000" w:themeColor="text1"/>
          <w:sz w:val="24"/>
          <w:szCs w:val="24"/>
          <w:u w:val="single"/>
        </w:rPr>
        <w:t>servidores públicos e seu regime.</w:t>
      </w:r>
    </w:p>
    <w:p w:rsidR="00CB1697" w:rsidRPr="0014231C" w:rsidRDefault="00CB1697" w:rsidP="00CB1697">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t xml:space="preserve">Desta forma, para escapar da impossibilidade de iniciar o trâmite de uma lei que trate sobre os temas de iniciativa exclusiva do Chefe do Executivo, os membros do Poder Legislativo apresentam </w:t>
      </w:r>
      <w:r w:rsidRPr="0014231C">
        <w:rPr>
          <w:rFonts w:ascii="Verdana" w:hAnsi="Verdana" w:cs="ArialMT"/>
          <w:color w:val="000000" w:themeColor="text1"/>
          <w:sz w:val="24"/>
          <w:szCs w:val="24"/>
        </w:rPr>
        <w:lastRenderedPageBreak/>
        <w:t>proposta de Emenda à Constituição, com o teor das matérias citadas acima, visto que não há expressamente a vedação pelas Constituições Federal e Estadual.</w:t>
      </w:r>
    </w:p>
    <w:p w:rsidR="00CB1697" w:rsidRPr="0014231C" w:rsidRDefault="00CB1697" w:rsidP="00CB1697">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t>Sobre esta matéria, o Supremo Tribunal Federal assim se manifestou:</w:t>
      </w:r>
    </w:p>
    <w:p w:rsidR="00CB1697" w:rsidRPr="0014231C" w:rsidRDefault="00CB1697" w:rsidP="00CB1697">
      <w:pPr>
        <w:autoSpaceDE w:val="0"/>
        <w:autoSpaceDN w:val="0"/>
        <w:adjustRightInd w:val="0"/>
        <w:spacing w:after="0" w:line="360" w:lineRule="auto"/>
        <w:ind w:firstLine="1134"/>
        <w:jc w:val="both"/>
        <w:rPr>
          <w:rFonts w:ascii="Verdana" w:hAnsi="Verdana" w:cs="ArialMT"/>
          <w:color w:val="000000" w:themeColor="text1"/>
          <w:sz w:val="24"/>
          <w:szCs w:val="24"/>
        </w:rPr>
      </w:pPr>
    </w:p>
    <w:p w:rsidR="00CB1697" w:rsidRPr="0014231C" w:rsidRDefault="00CB1697" w:rsidP="00CB1697">
      <w:pPr>
        <w:autoSpaceDE w:val="0"/>
        <w:autoSpaceDN w:val="0"/>
        <w:adjustRightInd w:val="0"/>
        <w:spacing w:after="0" w:line="240" w:lineRule="auto"/>
        <w:ind w:left="2268"/>
        <w:jc w:val="both"/>
        <w:rPr>
          <w:rFonts w:ascii="Verdana" w:hAnsi="Verdana" w:cs="ArialMT"/>
          <w:b/>
          <w:bCs/>
          <w:color w:val="000000" w:themeColor="text1"/>
          <w:sz w:val="20"/>
          <w:szCs w:val="20"/>
        </w:rPr>
      </w:pPr>
      <w:r w:rsidRPr="0014231C">
        <w:rPr>
          <w:rFonts w:ascii="Verdana" w:hAnsi="Verdana" w:cs="ArialMT"/>
          <w:bCs/>
          <w:color w:val="000000" w:themeColor="text1"/>
          <w:sz w:val="20"/>
          <w:szCs w:val="20"/>
        </w:rPr>
        <w:t xml:space="preserve">AÇÃO DIRETA DE INCONSTITUCIONALIDADE. EMENDA CONSTITUCIONAL QUE DISPÕE SOBRE REGIME JURÍDICO DOS SERVIDORES PÚBLICOS DO ESTADO DE MATO GROSSO. PROJETO ORIGINADO NA ASSEMBLÉIA LEGISLATIVA. INCONSTITUCIONALIDADE FORMAL. VÍCIO RECONHECIDO. </w:t>
      </w:r>
      <w:proofErr w:type="gramStart"/>
      <w:r w:rsidRPr="0014231C">
        <w:rPr>
          <w:rFonts w:ascii="Verdana" w:hAnsi="Verdana" w:cs="ArialMT"/>
          <w:bCs/>
          <w:color w:val="000000" w:themeColor="text1"/>
          <w:sz w:val="20"/>
          <w:szCs w:val="20"/>
        </w:rPr>
        <w:t>VIOLAÇÃO À</w:t>
      </w:r>
      <w:proofErr w:type="gramEnd"/>
      <w:r w:rsidRPr="0014231C">
        <w:rPr>
          <w:rFonts w:ascii="Verdana" w:hAnsi="Verdana" w:cs="ArialMT"/>
          <w:bCs/>
          <w:color w:val="000000" w:themeColor="text1"/>
          <w:sz w:val="20"/>
          <w:szCs w:val="20"/>
        </w:rPr>
        <w:t xml:space="preserve"> RESERVA DE INICIATIVA DO CHEFE DO PODER EXECUTIVO. EXISTÊNCIA, TAMBÉM, DE VÍCIO DE INCONSTITUCIONALIDADE MATERIAL. LIMITE ÚNICO. SUBSÍDIOS DE PARLAMENTAR LIMITADO AO DOS DESEMBARGADORES. VINCULAÇÃO DE ESPÉCIES REMUNERATÓRIAS. IMPOSSIBILIDADE. AÇÃO JULGADA PROCEDENTE.</w:t>
      </w:r>
      <w:r w:rsidRPr="0014231C">
        <w:rPr>
          <w:rFonts w:ascii="Verdana" w:hAnsi="Verdana" w:cs="ArialMT"/>
          <w:b/>
          <w:bCs/>
          <w:color w:val="000000" w:themeColor="text1"/>
          <w:sz w:val="20"/>
          <w:szCs w:val="20"/>
        </w:rPr>
        <w:t xml:space="preserve"> I - A iniciativa de lei que disponha sobre o regime jurídico dos servidores públicos é reservada ao Chefe do Poder Executivo local por força do artigo 61, § 1º, II, c, da Constituição Federal. II - Não se aplica o limite único fixado no § 12, do art. 37, da Constituição Federal, aos subsídios dos Deputados Estaduais e Distritais e dos Vereadores conforme estabelece esse mesmo dispositivo. A lei local impugnada não faz a referida ressalva. III - É vedada a vinculação de quaisquer espécies remuneratórias, para efeito de remuneração de pessoal do serviço público, nos termos do art. 37, XIII, da Constituição Federal. IV - Ação direta julgada procedente para declarar a inconstitucionalidade da Emenda Constitucional 54, de 26 de agosto de 2008, que modificou o art. 145, §§ 2º e 4º, da Constituição do Estado de Mato Grosso.</w:t>
      </w:r>
    </w:p>
    <w:p w:rsidR="00CB1697" w:rsidRPr="0014231C" w:rsidRDefault="00CB1697" w:rsidP="00CB1697">
      <w:pPr>
        <w:autoSpaceDE w:val="0"/>
        <w:autoSpaceDN w:val="0"/>
        <w:adjustRightInd w:val="0"/>
        <w:spacing w:after="0" w:line="240" w:lineRule="auto"/>
        <w:ind w:left="2268"/>
        <w:jc w:val="both"/>
        <w:rPr>
          <w:rFonts w:ascii="Verdana" w:hAnsi="Verdana" w:cs="ArialMT"/>
          <w:color w:val="000000" w:themeColor="text1"/>
          <w:sz w:val="20"/>
          <w:szCs w:val="20"/>
        </w:rPr>
      </w:pPr>
      <w:r w:rsidRPr="0014231C">
        <w:rPr>
          <w:rFonts w:ascii="Verdana" w:hAnsi="Verdana" w:cs="ArialMT"/>
          <w:color w:val="000000" w:themeColor="text1"/>
          <w:sz w:val="20"/>
          <w:szCs w:val="20"/>
        </w:rPr>
        <w:t xml:space="preserve">(ADI 4154, </w:t>
      </w:r>
      <w:proofErr w:type="gramStart"/>
      <w:r w:rsidRPr="0014231C">
        <w:rPr>
          <w:rFonts w:ascii="Verdana" w:hAnsi="Verdana" w:cs="ArialMT"/>
          <w:color w:val="000000" w:themeColor="text1"/>
          <w:sz w:val="20"/>
          <w:szCs w:val="20"/>
        </w:rPr>
        <w:t>Relator(</w:t>
      </w:r>
      <w:proofErr w:type="gramEnd"/>
      <w:r w:rsidRPr="0014231C">
        <w:rPr>
          <w:rFonts w:ascii="Verdana" w:hAnsi="Verdana" w:cs="ArialMT"/>
          <w:color w:val="000000" w:themeColor="text1"/>
          <w:sz w:val="20"/>
          <w:szCs w:val="20"/>
        </w:rPr>
        <w:t>a): Min. RICARDO LEWANDOWSKI, Tribunal Pleno, julgado em 26/05/2010, DJe-110 DIVULG 17-06-2010 PUBLIC 18-06-2010)</w:t>
      </w:r>
    </w:p>
    <w:p w:rsidR="00CB1697" w:rsidRPr="0014231C" w:rsidRDefault="00CB1697" w:rsidP="00CB1697">
      <w:pPr>
        <w:autoSpaceDE w:val="0"/>
        <w:autoSpaceDN w:val="0"/>
        <w:adjustRightInd w:val="0"/>
        <w:spacing w:after="0" w:line="240" w:lineRule="auto"/>
        <w:ind w:left="2268"/>
        <w:jc w:val="both"/>
        <w:rPr>
          <w:rFonts w:ascii="Verdana" w:hAnsi="Verdana" w:cs="ArialMT"/>
          <w:color w:val="000000" w:themeColor="text1"/>
          <w:sz w:val="20"/>
          <w:szCs w:val="20"/>
        </w:rPr>
      </w:pPr>
      <w:r w:rsidRPr="0014231C">
        <w:rPr>
          <w:rFonts w:ascii="Verdana" w:hAnsi="Verdana" w:cs="ArialMT"/>
          <w:color w:val="000000" w:themeColor="text1"/>
          <w:sz w:val="20"/>
          <w:szCs w:val="20"/>
        </w:rPr>
        <w:t>______________________________</w:t>
      </w:r>
    </w:p>
    <w:p w:rsidR="00CB1697" w:rsidRPr="0014231C" w:rsidRDefault="00CB1697" w:rsidP="00CB1697">
      <w:pPr>
        <w:autoSpaceDE w:val="0"/>
        <w:autoSpaceDN w:val="0"/>
        <w:adjustRightInd w:val="0"/>
        <w:spacing w:after="0" w:line="240" w:lineRule="auto"/>
        <w:ind w:left="2268"/>
        <w:jc w:val="both"/>
        <w:rPr>
          <w:rFonts w:ascii="Verdana" w:hAnsi="Verdana" w:cs="ArialMT"/>
          <w:color w:val="000000" w:themeColor="text1"/>
          <w:sz w:val="20"/>
          <w:szCs w:val="20"/>
        </w:rPr>
      </w:pPr>
      <w:r w:rsidRPr="0014231C">
        <w:rPr>
          <w:rFonts w:ascii="Verdana" w:hAnsi="Verdana" w:cs="ArialMT"/>
          <w:color w:val="000000" w:themeColor="text1"/>
          <w:sz w:val="20"/>
          <w:szCs w:val="20"/>
        </w:rPr>
        <w:t xml:space="preserve">AÇÃO DIRETA DE INCONSTITUCIONALIDADE. EMENDA CONSTITUCIONAL QUE DISPÕE SOBRE REGIME JURÍDICO DOS SERVIDORES MILITARES DO ESTADO DE RONDÔNIA. PROJETO ORIGINADO NA ASSEMBLÉIA LEGISLATIVA. INCONSTITUCIONALIDADE FORMAL. VÍCIO RECONHECIDO. </w:t>
      </w:r>
      <w:proofErr w:type="gramStart"/>
      <w:r w:rsidRPr="0014231C">
        <w:rPr>
          <w:rFonts w:ascii="Verdana" w:hAnsi="Verdana" w:cs="ArialMT"/>
          <w:color w:val="000000" w:themeColor="text1"/>
          <w:sz w:val="20"/>
          <w:szCs w:val="20"/>
        </w:rPr>
        <w:t>VIOLAÇÃO À</w:t>
      </w:r>
      <w:proofErr w:type="gramEnd"/>
      <w:r w:rsidRPr="0014231C">
        <w:rPr>
          <w:rFonts w:ascii="Verdana" w:hAnsi="Verdana" w:cs="ArialMT"/>
          <w:color w:val="000000" w:themeColor="text1"/>
          <w:sz w:val="20"/>
          <w:szCs w:val="20"/>
        </w:rPr>
        <w:t xml:space="preserve"> RESERVA DE INICIATIVA DO CHEFE DO PODER EXECUTIVO. AÇÃO JULGADA PROCEDENTE. </w:t>
      </w:r>
      <w:r w:rsidRPr="0014231C">
        <w:rPr>
          <w:rFonts w:ascii="Verdana" w:hAnsi="Verdana" w:cs="ArialMT"/>
          <w:b/>
          <w:bCs/>
          <w:color w:val="000000" w:themeColor="text1"/>
          <w:sz w:val="20"/>
          <w:szCs w:val="20"/>
        </w:rPr>
        <w:t xml:space="preserve">I - À luz do princípio da simetria, a jurisprudência desta Suprema Corte é pacífica ao afirmar que, no tocante ao regime jurídico dos servidores militares estaduais, a iniciativa de lei é reservada ao Chefe do Poder Executivo local por </w:t>
      </w:r>
      <w:r w:rsidRPr="0014231C">
        <w:rPr>
          <w:rFonts w:ascii="Verdana" w:hAnsi="Verdana" w:cs="ArialMT"/>
          <w:b/>
          <w:bCs/>
          <w:color w:val="000000" w:themeColor="text1"/>
          <w:sz w:val="20"/>
          <w:szCs w:val="20"/>
        </w:rPr>
        <w:lastRenderedPageBreak/>
        <w:t>força do artigo 61, § 1º, II, f, da Constituição. II - O vício formal não é superado pelo fato de a iniciativa legislativa ostentar hierarquia constitucional. III - Ação direta julgada procedente para declarar a inconstitucionalidade do artigo 148-A da Constituição do Estado de Rondônia e do artigo 45 das Disposições Constitucionais Transitórias da Carta local, ambos acrescidos por meio da Emenda Constitucional 56, de 30 de maio de 2007.</w:t>
      </w:r>
    </w:p>
    <w:p w:rsidR="00CB1697" w:rsidRPr="0014231C" w:rsidRDefault="00CB1697" w:rsidP="00CB1697">
      <w:pPr>
        <w:autoSpaceDE w:val="0"/>
        <w:autoSpaceDN w:val="0"/>
        <w:adjustRightInd w:val="0"/>
        <w:spacing w:after="0" w:line="240" w:lineRule="auto"/>
        <w:ind w:left="2268"/>
        <w:jc w:val="both"/>
        <w:rPr>
          <w:rFonts w:ascii="Verdana" w:hAnsi="Verdana" w:cs="ArialMT"/>
          <w:color w:val="000000" w:themeColor="text1"/>
          <w:sz w:val="20"/>
          <w:szCs w:val="20"/>
        </w:rPr>
      </w:pPr>
      <w:r w:rsidRPr="0014231C">
        <w:rPr>
          <w:rFonts w:ascii="Verdana" w:hAnsi="Verdana" w:cs="ArialMT"/>
          <w:color w:val="000000" w:themeColor="text1"/>
          <w:sz w:val="20"/>
          <w:szCs w:val="20"/>
        </w:rPr>
        <w:t>(ADI 3930, Relator (a): Min. RICARDO LEWANDOWSKI, Tribunal Pleno, julgado em 16/09/2009, DJe-200 DIVULG 22-10-2009 PUBLIC 23-10-2009)</w:t>
      </w:r>
    </w:p>
    <w:p w:rsidR="00CB1697" w:rsidRPr="0014231C" w:rsidRDefault="00CB1697" w:rsidP="00CB1697">
      <w:pPr>
        <w:autoSpaceDE w:val="0"/>
        <w:autoSpaceDN w:val="0"/>
        <w:adjustRightInd w:val="0"/>
        <w:spacing w:after="0" w:line="240" w:lineRule="auto"/>
        <w:ind w:left="2268"/>
        <w:jc w:val="both"/>
        <w:rPr>
          <w:rFonts w:ascii="Verdana" w:hAnsi="Verdana" w:cs="ArialMT"/>
          <w:color w:val="000000" w:themeColor="text1"/>
          <w:sz w:val="20"/>
          <w:szCs w:val="20"/>
        </w:rPr>
      </w:pPr>
      <w:r w:rsidRPr="0014231C">
        <w:rPr>
          <w:rFonts w:ascii="Verdana" w:hAnsi="Verdana" w:cs="ArialMT"/>
          <w:color w:val="000000" w:themeColor="text1"/>
          <w:sz w:val="20"/>
          <w:szCs w:val="20"/>
        </w:rPr>
        <w:t>______________________________</w:t>
      </w:r>
    </w:p>
    <w:p w:rsidR="00CB1697" w:rsidRPr="0014231C" w:rsidRDefault="00CB1697" w:rsidP="00CB1697">
      <w:pPr>
        <w:autoSpaceDE w:val="0"/>
        <w:autoSpaceDN w:val="0"/>
        <w:adjustRightInd w:val="0"/>
        <w:spacing w:after="0" w:line="240" w:lineRule="auto"/>
        <w:ind w:left="2268"/>
        <w:jc w:val="both"/>
        <w:rPr>
          <w:rFonts w:ascii="Verdana" w:hAnsi="Verdana" w:cs="ArialMT"/>
          <w:color w:val="000000" w:themeColor="text1"/>
          <w:sz w:val="20"/>
          <w:szCs w:val="20"/>
        </w:rPr>
      </w:pPr>
      <w:r w:rsidRPr="0014231C">
        <w:rPr>
          <w:rFonts w:ascii="Verdana" w:hAnsi="Verdana" w:cs="ArialMT"/>
          <w:color w:val="000000" w:themeColor="text1"/>
          <w:sz w:val="20"/>
          <w:szCs w:val="20"/>
        </w:rPr>
        <w:t>AÇÃO DIRETA DE INCONSTITUCIONALIDADE. MILITARES. REGIME JURÍDICO. INICIATIVA PRIVATIVA DO CHEFE DO PODER EXECUTIVO. PROCEDÊNCIA DO PEDIDO. Emenda Constitucional 29/2002, do estado de Rondônia. Inconstitucionalidade. </w:t>
      </w:r>
      <w:r w:rsidRPr="0014231C">
        <w:rPr>
          <w:rFonts w:ascii="Verdana" w:hAnsi="Verdana" w:cs="ArialMT"/>
          <w:b/>
          <w:bCs/>
          <w:color w:val="000000" w:themeColor="text1"/>
          <w:sz w:val="20"/>
          <w:szCs w:val="20"/>
        </w:rPr>
        <w:t xml:space="preserve">À luz do princípio da simetria, é de iniciativa privativa do chefe do Poder Executivo estadual as leis que disciplinem o regime jurídico dos militares (art. 61, § 1º, II, f, da CF/1988). Matéria restrita à iniciativa do Poder Executivo não pode ser regulada por emenda constitucional de origem parlamentar. </w:t>
      </w:r>
      <w:r w:rsidRPr="0014231C">
        <w:rPr>
          <w:rFonts w:ascii="Verdana" w:hAnsi="Verdana" w:cs="ArialMT"/>
          <w:color w:val="000000" w:themeColor="text1"/>
          <w:sz w:val="20"/>
          <w:szCs w:val="20"/>
        </w:rPr>
        <w:t>Precedentes. Pedido julgado procedente.</w:t>
      </w:r>
    </w:p>
    <w:p w:rsidR="00CB1697" w:rsidRPr="0014231C" w:rsidRDefault="00CB1697" w:rsidP="00CB1697">
      <w:pPr>
        <w:autoSpaceDE w:val="0"/>
        <w:autoSpaceDN w:val="0"/>
        <w:adjustRightInd w:val="0"/>
        <w:spacing w:after="0" w:line="240" w:lineRule="auto"/>
        <w:ind w:left="2268"/>
        <w:jc w:val="both"/>
        <w:rPr>
          <w:rFonts w:ascii="Verdana" w:hAnsi="Verdana" w:cs="ArialMT"/>
          <w:color w:val="000000" w:themeColor="text1"/>
          <w:sz w:val="20"/>
          <w:szCs w:val="20"/>
        </w:rPr>
      </w:pPr>
      <w:r w:rsidRPr="0014231C">
        <w:rPr>
          <w:rFonts w:ascii="Verdana" w:hAnsi="Verdana" w:cs="ArialMT"/>
          <w:color w:val="000000" w:themeColor="text1"/>
          <w:sz w:val="20"/>
          <w:szCs w:val="20"/>
        </w:rPr>
        <w:t>(ADI 2966, Relator (a): Min. JOAQUIM BARBOSA, Tribunal Pleno, julgado em 06/04/2005, DJ 06-05-2005)</w:t>
      </w:r>
    </w:p>
    <w:p w:rsidR="00CB1697" w:rsidRPr="0014231C" w:rsidRDefault="00CB1697" w:rsidP="00CB1697">
      <w:pPr>
        <w:autoSpaceDE w:val="0"/>
        <w:autoSpaceDN w:val="0"/>
        <w:adjustRightInd w:val="0"/>
        <w:spacing w:after="0" w:line="360" w:lineRule="auto"/>
        <w:ind w:firstLine="1134"/>
        <w:jc w:val="both"/>
        <w:rPr>
          <w:rFonts w:ascii="Verdana" w:hAnsi="Verdana" w:cs="ArialMT"/>
          <w:color w:val="000000" w:themeColor="text1"/>
          <w:sz w:val="24"/>
          <w:szCs w:val="24"/>
          <w:u w:val="single"/>
        </w:rPr>
      </w:pPr>
    </w:p>
    <w:p w:rsidR="00CB1697" w:rsidRPr="0014231C" w:rsidRDefault="00CB1697" w:rsidP="00CB1697">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t>Esse entendimento é também adotado pela doutrina majoritária, figurada neste texto pelo autor Alexandre de Moraes:</w:t>
      </w:r>
    </w:p>
    <w:p w:rsidR="00CB1697" w:rsidRPr="0014231C" w:rsidRDefault="00CB1697" w:rsidP="00CB1697">
      <w:pPr>
        <w:autoSpaceDE w:val="0"/>
        <w:autoSpaceDN w:val="0"/>
        <w:adjustRightInd w:val="0"/>
        <w:spacing w:after="0" w:line="360" w:lineRule="auto"/>
        <w:ind w:firstLine="1134"/>
        <w:jc w:val="both"/>
        <w:rPr>
          <w:rFonts w:ascii="Verdana" w:hAnsi="Verdana" w:cs="ArialMT"/>
          <w:color w:val="000000" w:themeColor="text1"/>
          <w:sz w:val="24"/>
          <w:szCs w:val="24"/>
        </w:rPr>
      </w:pPr>
    </w:p>
    <w:p w:rsidR="00CB1697" w:rsidRPr="0014231C" w:rsidRDefault="00CB1697" w:rsidP="00CB1697">
      <w:pPr>
        <w:autoSpaceDE w:val="0"/>
        <w:autoSpaceDN w:val="0"/>
        <w:adjustRightInd w:val="0"/>
        <w:spacing w:after="0" w:line="240" w:lineRule="auto"/>
        <w:ind w:left="2268"/>
        <w:jc w:val="both"/>
        <w:rPr>
          <w:rFonts w:ascii="Verdana" w:hAnsi="Verdana" w:cs="ArialMT"/>
          <w:color w:val="000000" w:themeColor="text1"/>
          <w:sz w:val="20"/>
          <w:szCs w:val="20"/>
        </w:rPr>
      </w:pPr>
      <w:r w:rsidRPr="0014231C">
        <w:rPr>
          <w:rFonts w:ascii="Verdana" w:hAnsi="Verdana" w:cs="ArialMT"/>
          <w:color w:val="000000" w:themeColor="text1"/>
          <w:sz w:val="20"/>
          <w:szCs w:val="20"/>
        </w:rPr>
        <w:t xml:space="preserve">a iniciativa das leis que versem sobre o regime jurídico dos servidores públicos revela-se, enquanto prerrogativa conferida pela Carta Política ao Chefe do Poder Executivo, </w:t>
      </w:r>
      <w:r w:rsidRPr="0014231C">
        <w:rPr>
          <w:rFonts w:ascii="Verdana" w:hAnsi="Verdana" w:cs="ArialMT"/>
          <w:b/>
          <w:color w:val="000000" w:themeColor="text1"/>
          <w:sz w:val="20"/>
          <w:szCs w:val="20"/>
          <w:u w:val="single"/>
        </w:rPr>
        <w:t>projeção específica do princípio da separação de poderes</w:t>
      </w:r>
      <w:r w:rsidRPr="0014231C">
        <w:rPr>
          <w:rFonts w:ascii="Verdana" w:hAnsi="Verdana" w:cs="ArialMT"/>
          <w:color w:val="000000" w:themeColor="text1"/>
          <w:sz w:val="20"/>
          <w:szCs w:val="20"/>
        </w:rPr>
        <w:t>, incidindo em inconstitucionalidade formal a norma inscrita em Constituição do Estado que, subtraindo a disciplina da matéria ao domínio normativo da lei, dispõe sobre provimento de cargos que integram a estrutura jurídico-administrativa do Poder Executivo local (MORAES, 2011, p. 674).</w:t>
      </w:r>
    </w:p>
    <w:p w:rsidR="00CB1697" w:rsidRPr="0014231C" w:rsidRDefault="00CB1697" w:rsidP="00CB1697">
      <w:pPr>
        <w:autoSpaceDE w:val="0"/>
        <w:autoSpaceDN w:val="0"/>
        <w:adjustRightInd w:val="0"/>
        <w:spacing w:after="0" w:line="240" w:lineRule="auto"/>
        <w:ind w:left="2268"/>
        <w:jc w:val="both"/>
        <w:rPr>
          <w:rFonts w:ascii="Verdana" w:hAnsi="Verdana" w:cs="ArialMT"/>
          <w:color w:val="000000" w:themeColor="text1"/>
          <w:sz w:val="20"/>
          <w:szCs w:val="20"/>
        </w:rPr>
      </w:pPr>
      <w:r w:rsidRPr="0014231C">
        <w:rPr>
          <w:rFonts w:ascii="Verdana" w:hAnsi="Verdana" w:cs="ArialMT"/>
          <w:color w:val="000000" w:themeColor="text1"/>
          <w:sz w:val="20"/>
          <w:szCs w:val="20"/>
        </w:rPr>
        <w:t>______________________________</w:t>
      </w:r>
    </w:p>
    <w:p w:rsidR="00CB1697" w:rsidRPr="0014231C" w:rsidRDefault="00CB1697" w:rsidP="00CB1697">
      <w:pPr>
        <w:autoSpaceDE w:val="0"/>
        <w:autoSpaceDN w:val="0"/>
        <w:adjustRightInd w:val="0"/>
        <w:spacing w:after="0" w:line="240" w:lineRule="auto"/>
        <w:ind w:left="2268"/>
        <w:jc w:val="both"/>
        <w:rPr>
          <w:rFonts w:ascii="Verdana" w:hAnsi="Verdana" w:cs="ArialMT"/>
          <w:b/>
          <w:bCs/>
          <w:sz w:val="20"/>
          <w:szCs w:val="20"/>
        </w:rPr>
      </w:pPr>
      <w:r w:rsidRPr="0014231C">
        <w:rPr>
          <w:rFonts w:ascii="Verdana" w:hAnsi="Verdana" w:cs="ArialMT"/>
          <w:color w:val="000000" w:themeColor="text1"/>
          <w:sz w:val="20"/>
          <w:szCs w:val="20"/>
        </w:rPr>
        <w:t xml:space="preserve">Podemos observar que não estamos, no presente caso em análise, diante de uma limitação expressa ao Poder Constituinte Derivado Reformador, mas sim de uma limitação implícita. Ou seja, existem regras claras de como o processo legislativo deve ocorrer. E essas regras não podem, por óbvio, serem subvertidas. As regras do jogo não podem ser alteradas para se chegar a resultado diverso”. (SOUZA NETO, </w:t>
      </w:r>
      <w:hyperlink r:id="rId9" w:tooltip="Acesse o perfil de Gentil Ferreira de Souza Neto" w:history="1">
        <w:r w:rsidRPr="0014231C">
          <w:rPr>
            <w:rStyle w:val="Hyperlink"/>
            <w:rFonts w:ascii="Verdana" w:hAnsi="Verdana" w:cs="ArialMT"/>
            <w:sz w:val="20"/>
            <w:szCs w:val="20"/>
          </w:rPr>
          <w:t>Gentil Ferreira</w:t>
        </w:r>
      </w:hyperlink>
      <w:r w:rsidRPr="0014231C">
        <w:rPr>
          <w:rFonts w:ascii="Verdana" w:hAnsi="Verdana" w:cs="ArialMT"/>
          <w:sz w:val="20"/>
          <w:szCs w:val="20"/>
        </w:rPr>
        <w:t xml:space="preserve">, </w:t>
      </w:r>
      <w:r w:rsidRPr="0014231C">
        <w:rPr>
          <w:rFonts w:ascii="Verdana" w:hAnsi="Verdana" w:cs="ArialMT"/>
          <w:b/>
          <w:bCs/>
          <w:i/>
          <w:sz w:val="20"/>
          <w:szCs w:val="20"/>
        </w:rPr>
        <w:t xml:space="preserve">Iniciativa para emendar a Constituição versus iniciativa legislativa reservada do chefe do Poder Executivo. A burla empreendida pelo Poder Legislativo </w:t>
      </w:r>
      <w:r w:rsidRPr="0014231C">
        <w:rPr>
          <w:rFonts w:ascii="Verdana" w:hAnsi="Verdana" w:cs="ArialMT"/>
          <w:b/>
          <w:bCs/>
          <w:i/>
          <w:sz w:val="20"/>
          <w:szCs w:val="20"/>
        </w:rPr>
        <w:lastRenderedPageBreak/>
        <w:t>e a resposta do Poder Judiciário</w:t>
      </w:r>
      <w:r w:rsidRPr="0014231C">
        <w:rPr>
          <w:rFonts w:ascii="Verdana" w:hAnsi="Verdana" w:cs="ArialMT"/>
          <w:b/>
          <w:bCs/>
          <w:sz w:val="20"/>
          <w:szCs w:val="20"/>
        </w:rPr>
        <w:t xml:space="preserve">; </w:t>
      </w:r>
      <w:r w:rsidRPr="0014231C">
        <w:rPr>
          <w:rFonts w:ascii="Verdana" w:hAnsi="Verdana" w:cs="ArialMT"/>
          <w:color w:val="000000" w:themeColor="text1"/>
          <w:sz w:val="20"/>
          <w:szCs w:val="20"/>
        </w:rPr>
        <w:t xml:space="preserve">Disponível em: </w:t>
      </w:r>
      <w:hyperlink r:id="rId10" w:anchor="ixzz3e4xW7WAs" w:history="1">
        <w:r w:rsidRPr="0014231C">
          <w:rPr>
            <w:rStyle w:val="Hyperlink"/>
            <w:rFonts w:ascii="Verdana" w:hAnsi="Verdana" w:cs="ArialMT"/>
            <w:sz w:val="20"/>
            <w:szCs w:val="20"/>
          </w:rPr>
          <w:t>http://jus.com.br/artigos/31084/iniciativa-para-emendar-a-constituicao-versus-iniciativa-legislativa-reservada-do-chefe-do-poder-executivo#ixzz3e4xW7WAs</w:t>
        </w:r>
      </w:hyperlink>
      <w:r w:rsidRPr="0014231C">
        <w:rPr>
          <w:rFonts w:ascii="Verdana" w:hAnsi="Verdana" w:cs="ArialMT"/>
          <w:color w:val="000000" w:themeColor="text1"/>
          <w:sz w:val="20"/>
          <w:szCs w:val="20"/>
        </w:rPr>
        <w:t>; Acesso em: 25/06/2015)</w:t>
      </w:r>
    </w:p>
    <w:p w:rsidR="00CB1697" w:rsidRPr="0014231C" w:rsidRDefault="00CB1697" w:rsidP="00CB1697">
      <w:pPr>
        <w:autoSpaceDE w:val="0"/>
        <w:autoSpaceDN w:val="0"/>
        <w:adjustRightInd w:val="0"/>
        <w:spacing w:after="0" w:line="360" w:lineRule="auto"/>
        <w:ind w:firstLine="1134"/>
        <w:jc w:val="both"/>
        <w:rPr>
          <w:rFonts w:ascii="Verdana" w:hAnsi="Verdana" w:cs="ArialMT"/>
          <w:color w:val="000000" w:themeColor="text1"/>
          <w:sz w:val="24"/>
          <w:szCs w:val="24"/>
        </w:rPr>
      </w:pPr>
    </w:p>
    <w:p w:rsidR="00CB1697" w:rsidRPr="0014231C" w:rsidRDefault="00CB1697" w:rsidP="00CB1697">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t xml:space="preserve">Portanto, as hipóteses previstas na Constituição Federal de iniciativa reservada do Presidente da República, </w:t>
      </w:r>
      <w:r w:rsidRPr="0014231C">
        <w:rPr>
          <w:rFonts w:ascii="Verdana" w:hAnsi="Verdana" w:cs="ArialMT"/>
          <w:b/>
          <w:color w:val="000000" w:themeColor="text1"/>
          <w:sz w:val="24"/>
          <w:szCs w:val="24"/>
          <w:u w:val="single"/>
        </w:rPr>
        <w:t>pelos princípios da simetria e da separação de Poderes</w:t>
      </w:r>
      <w:r w:rsidRPr="0014231C">
        <w:rPr>
          <w:rFonts w:ascii="Verdana" w:hAnsi="Verdana" w:cs="ArialMT"/>
          <w:color w:val="000000" w:themeColor="text1"/>
          <w:sz w:val="24"/>
          <w:szCs w:val="24"/>
        </w:rPr>
        <w:t>, devem ser observadas em âmbito estadual e municipal, até mesmo para modificar a Constituição Estadual ou a Lei Orgânica Municipal, sob pena de se configurar inconstitucionalidade formal subjetiva.</w:t>
      </w:r>
    </w:p>
    <w:p w:rsidR="00CB1697" w:rsidRPr="0014231C" w:rsidRDefault="00CB1697" w:rsidP="00CB1697">
      <w:pPr>
        <w:autoSpaceDE w:val="0"/>
        <w:autoSpaceDN w:val="0"/>
        <w:adjustRightInd w:val="0"/>
        <w:spacing w:after="0" w:line="360" w:lineRule="auto"/>
        <w:ind w:firstLine="1134"/>
        <w:jc w:val="both"/>
        <w:rPr>
          <w:rFonts w:ascii="Verdana" w:hAnsi="Verdana" w:cs="ArialMT"/>
          <w:color w:val="000000" w:themeColor="text1"/>
          <w:sz w:val="24"/>
          <w:szCs w:val="24"/>
        </w:rPr>
      </w:pPr>
      <w:r w:rsidRPr="0014231C">
        <w:rPr>
          <w:rFonts w:ascii="Verdana" w:hAnsi="Verdana" w:cs="ArialMT"/>
          <w:color w:val="000000" w:themeColor="text1"/>
          <w:sz w:val="24"/>
          <w:szCs w:val="24"/>
        </w:rPr>
        <w:t xml:space="preserve">Deste modo, </w:t>
      </w:r>
      <w:r w:rsidRPr="0014231C">
        <w:rPr>
          <w:rFonts w:ascii="Verdana" w:hAnsi="Verdana" w:cs="ArialMT"/>
          <w:b/>
          <w:color w:val="000000" w:themeColor="text1"/>
          <w:sz w:val="24"/>
          <w:szCs w:val="24"/>
        </w:rPr>
        <w:t>opina-se pela rejeição da Proposta de Emenda à Constituição Estadual nº 008/2015</w:t>
      </w:r>
      <w:r w:rsidRPr="0014231C">
        <w:rPr>
          <w:rFonts w:ascii="Verdana" w:hAnsi="Verdana" w:cs="ArialMT"/>
          <w:color w:val="000000" w:themeColor="text1"/>
          <w:sz w:val="24"/>
          <w:szCs w:val="24"/>
        </w:rPr>
        <w:t>.</w:t>
      </w:r>
    </w:p>
    <w:p w:rsidR="00000646" w:rsidRPr="00000646" w:rsidRDefault="00000646" w:rsidP="00E04AE3">
      <w:pPr>
        <w:autoSpaceDE w:val="0"/>
        <w:autoSpaceDN w:val="0"/>
        <w:adjustRightInd w:val="0"/>
        <w:spacing w:after="0" w:line="360" w:lineRule="auto"/>
        <w:ind w:firstLine="1134"/>
        <w:jc w:val="both"/>
        <w:rPr>
          <w:rFonts w:ascii="Verdana" w:hAnsi="Verdana" w:cs="Times New Roman"/>
          <w:color w:val="000000" w:themeColor="text1"/>
          <w:sz w:val="24"/>
          <w:szCs w:val="24"/>
        </w:rPr>
      </w:pPr>
    </w:p>
    <w:p w:rsidR="00F22180" w:rsidRDefault="00F22180" w:rsidP="005032B4">
      <w:pPr>
        <w:spacing w:line="360" w:lineRule="auto"/>
        <w:jc w:val="both"/>
        <w:rPr>
          <w:rFonts w:ascii="Verdana" w:hAnsi="Verdana" w:cs="Times New Roman"/>
          <w:b/>
          <w:sz w:val="24"/>
          <w:szCs w:val="24"/>
          <w:u w:val="single"/>
        </w:rPr>
      </w:pPr>
    </w:p>
    <w:p w:rsidR="0019729C" w:rsidRPr="00000646" w:rsidRDefault="005032B4" w:rsidP="005032B4">
      <w:pPr>
        <w:spacing w:line="360" w:lineRule="auto"/>
        <w:jc w:val="both"/>
        <w:rPr>
          <w:rFonts w:ascii="Verdana" w:hAnsi="Verdana" w:cs="Times New Roman"/>
          <w:sz w:val="24"/>
          <w:szCs w:val="24"/>
        </w:rPr>
      </w:pPr>
      <w:r w:rsidRPr="00000646">
        <w:rPr>
          <w:rFonts w:ascii="Verdana" w:hAnsi="Verdana" w:cs="Times New Roman"/>
          <w:b/>
          <w:sz w:val="24"/>
          <w:szCs w:val="24"/>
          <w:u w:val="single"/>
        </w:rPr>
        <w:t>VOTO DO RELATOR:</w:t>
      </w:r>
      <w:r w:rsidRPr="00000646">
        <w:rPr>
          <w:rFonts w:ascii="Verdana" w:hAnsi="Verdana" w:cs="Times New Roman"/>
          <w:sz w:val="24"/>
          <w:szCs w:val="24"/>
        </w:rPr>
        <w:t xml:space="preserve"> </w:t>
      </w:r>
    </w:p>
    <w:p w:rsidR="0049414E" w:rsidRPr="00000646" w:rsidRDefault="00603487" w:rsidP="00E94B56">
      <w:pPr>
        <w:autoSpaceDE w:val="0"/>
        <w:autoSpaceDN w:val="0"/>
        <w:adjustRightInd w:val="0"/>
        <w:spacing w:after="0" w:line="360" w:lineRule="auto"/>
        <w:ind w:firstLine="851"/>
        <w:jc w:val="both"/>
        <w:rPr>
          <w:rFonts w:ascii="Verdana" w:hAnsi="Verdana" w:cs="Times New Roman"/>
          <w:color w:val="000000" w:themeColor="text1"/>
          <w:sz w:val="24"/>
          <w:szCs w:val="24"/>
        </w:rPr>
      </w:pPr>
      <w:r w:rsidRPr="00000646">
        <w:rPr>
          <w:rFonts w:ascii="Verdana" w:hAnsi="Verdana" w:cs="Times New Roman"/>
          <w:color w:val="000000" w:themeColor="text1"/>
          <w:sz w:val="24"/>
          <w:szCs w:val="24"/>
        </w:rPr>
        <w:t xml:space="preserve">Diante dos fundamentos </w:t>
      </w:r>
      <w:r w:rsidR="004D7755" w:rsidRPr="00000646">
        <w:rPr>
          <w:rFonts w:ascii="Verdana" w:hAnsi="Verdana" w:cs="Times New Roman"/>
          <w:color w:val="000000" w:themeColor="text1"/>
          <w:sz w:val="24"/>
          <w:szCs w:val="24"/>
        </w:rPr>
        <w:t xml:space="preserve">constitucionais, legais, </w:t>
      </w:r>
      <w:r w:rsidRPr="00000646">
        <w:rPr>
          <w:rFonts w:ascii="Verdana" w:hAnsi="Verdana" w:cs="Times New Roman"/>
          <w:color w:val="000000" w:themeColor="text1"/>
          <w:sz w:val="24"/>
          <w:szCs w:val="24"/>
        </w:rPr>
        <w:t xml:space="preserve">jurídicos </w:t>
      </w:r>
      <w:r w:rsidR="004D7755" w:rsidRPr="00000646">
        <w:rPr>
          <w:rFonts w:ascii="Verdana" w:hAnsi="Verdana" w:cs="Times New Roman"/>
          <w:color w:val="000000" w:themeColor="text1"/>
          <w:sz w:val="24"/>
          <w:szCs w:val="24"/>
        </w:rPr>
        <w:t xml:space="preserve">e de técnica </w:t>
      </w:r>
      <w:r w:rsidR="004D5159" w:rsidRPr="00000646">
        <w:rPr>
          <w:rFonts w:ascii="Verdana" w:hAnsi="Verdana" w:cs="Times New Roman"/>
          <w:color w:val="000000" w:themeColor="text1"/>
          <w:sz w:val="24"/>
          <w:szCs w:val="24"/>
        </w:rPr>
        <w:t>legislativa apresentada</w:t>
      </w:r>
      <w:r w:rsidRPr="00000646">
        <w:rPr>
          <w:rFonts w:ascii="Verdana" w:hAnsi="Verdana" w:cs="Times New Roman"/>
          <w:color w:val="000000" w:themeColor="text1"/>
          <w:sz w:val="24"/>
          <w:szCs w:val="24"/>
        </w:rPr>
        <w:t xml:space="preserve"> acima, </w:t>
      </w:r>
      <w:r w:rsidR="000F2485" w:rsidRPr="00000646">
        <w:rPr>
          <w:rFonts w:ascii="Verdana" w:hAnsi="Verdana" w:cs="Times New Roman"/>
          <w:color w:val="000000" w:themeColor="text1"/>
          <w:sz w:val="24"/>
          <w:szCs w:val="24"/>
        </w:rPr>
        <w:t xml:space="preserve">opina-se pela </w:t>
      </w:r>
      <w:r w:rsidR="00FB0A01" w:rsidRPr="00000646">
        <w:rPr>
          <w:rFonts w:ascii="Verdana" w:hAnsi="Verdana" w:cs="Times New Roman"/>
          <w:color w:val="000000" w:themeColor="text1"/>
          <w:sz w:val="24"/>
          <w:szCs w:val="24"/>
        </w:rPr>
        <w:t>rejeição</w:t>
      </w:r>
      <w:r w:rsidR="000F2485" w:rsidRPr="00000646">
        <w:rPr>
          <w:rFonts w:ascii="Verdana" w:hAnsi="Verdana" w:cs="Times New Roman"/>
          <w:color w:val="000000" w:themeColor="text1"/>
          <w:sz w:val="24"/>
          <w:szCs w:val="24"/>
        </w:rPr>
        <w:t xml:space="preserve"> </w:t>
      </w:r>
      <w:r w:rsidR="005F3FC5" w:rsidRPr="00000646">
        <w:rPr>
          <w:rFonts w:ascii="Verdana" w:hAnsi="Verdana" w:cs="Times New Roman"/>
          <w:color w:val="000000" w:themeColor="text1"/>
          <w:sz w:val="24"/>
          <w:szCs w:val="24"/>
        </w:rPr>
        <w:t>da Proposta</w:t>
      </w:r>
      <w:r w:rsidR="00000646" w:rsidRPr="00000646">
        <w:rPr>
          <w:rFonts w:ascii="Verdana" w:hAnsi="Verdana" w:cs="Times New Roman"/>
          <w:color w:val="000000" w:themeColor="text1"/>
          <w:sz w:val="24"/>
          <w:szCs w:val="24"/>
        </w:rPr>
        <w:t xml:space="preserve"> de Emenda à Constituição nº 00</w:t>
      </w:r>
      <w:r w:rsidR="00B037BB">
        <w:rPr>
          <w:rFonts w:ascii="Verdana" w:hAnsi="Verdana" w:cs="Times New Roman"/>
          <w:color w:val="000000" w:themeColor="text1"/>
          <w:sz w:val="24"/>
          <w:szCs w:val="24"/>
        </w:rPr>
        <w:t>8</w:t>
      </w:r>
      <w:r w:rsidR="0019729C" w:rsidRPr="00000646">
        <w:rPr>
          <w:rFonts w:ascii="Verdana" w:hAnsi="Verdana" w:cs="Times New Roman"/>
          <w:color w:val="000000" w:themeColor="text1"/>
          <w:sz w:val="24"/>
          <w:szCs w:val="24"/>
        </w:rPr>
        <w:t>/2015</w:t>
      </w:r>
      <w:r w:rsidR="00FB0A01" w:rsidRPr="00000646">
        <w:rPr>
          <w:rFonts w:ascii="Verdana" w:hAnsi="Verdana" w:cs="Times New Roman"/>
          <w:color w:val="000000" w:themeColor="text1"/>
          <w:sz w:val="24"/>
          <w:szCs w:val="24"/>
        </w:rPr>
        <w:t>,</w:t>
      </w:r>
      <w:r w:rsidR="004D5159" w:rsidRPr="00000646">
        <w:rPr>
          <w:rFonts w:ascii="Verdana" w:hAnsi="Verdana" w:cs="Times New Roman"/>
          <w:color w:val="000000" w:themeColor="text1"/>
          <w:sz w:val="24"/>
          <w:szCs w:val="24"/>
        </w:rPr>
        <w:t xml:space="preserve"> em virtude do </w:t>
      </w:r>
      <w:r w:rsidR="001C5B63" w:rsidRPr="00000646">
        <w:rPr>
          <w:rFonts w:ascii="Verdana" w:hAnsi="Verdana" w:cs="Times New Roman"/>
          <w:color w:val="000000" w:themeColor="text1"/>
          <w:sz w:val="24"/>
          <w:szCs w:val="24"/>
        </w:rPr>
        <w:t>vício</w:t>
      </w:r>
      <w:r w:rsidR="008F4455" w:rsidRPr="00000646">
        <w:rPr>
          <w:rFonts w:ascii="Verdana" w:hAnsi="Verdana" w:cs="Times New Roman"/>
          <w:color w:val="000000" w:themeColor="text1"/>
          <w:sz w:val="24"/>
          <w:szCs w:val="24"/>
        </w:rPr>
        <w:t xml:space="preserve"> </w:t>
      </w:r>
      <w:r w:rsidR="005F3FC5" w:rsidRPr="00000646">
        <w:rPr>
          <w:rFonts w:ascii="Verdana" w:hAnsi="Verdana" w:cs="Times New Roman"/>
          <w:color w:val="000000" w:themeColor="text1"/>
          <w:sz w:val="24"/>
          <w:szCs w:val="24"/>
        </w:rPr>
        <w:t>material</w:t>
      </w:r>
      <w:r w:rsidR="00FB0A01" w:rsidRPr="00000646">
        <w:rPr>
          <w:rFonts w:ascii="Verdana" w:hAnsi="Verdana" w:cs="Times New Roman"/>
          <w:color w:val="000000" w:themeColor="text1"/>
          <w:sz w:val="24"/>
          <w:szCs w:val="24"/>
        </w:rPr>
        <w:t xml:space="preserve"> de </w:t>
      </w:r>
      <w:r w:rsidR="001C5B63" w:rsidRPr="00000646">
        <w:rPr>
          <w:rFonts w:ascii="Verdana" w:hAnsi="Verdana" w:cs="Times New Roman"/>
          <w:color w:val="000000" w:themeColor="text1"/>
          <w:sz w:val="24"/>
          <w:szCs w:val="24"/>
        </w:rPr>
        <w:t>in</w:t>
      </w:r>
      <w:r w:rsidR="00FB0A01" w:rsidRPr="00000646">
        <w:rPr>
          <w:rFonts w:ascii="Verdana" w:hAnsi="Verdana" w:cs="Times New Roman"/>
          <w:color w:val="000000" w:themeColor="text1"/>
          <w:sz w:val="24"/>
          <w:szCs w:val="24"/>
        </w:rPr>
        <w:t>constitucionalidade.</w:t>
      </w:r>
    </w:p>
    <w:p w:rsidR="005032B4" w:rsidRPr="00000646" w:rsidRDefault="005032B4" w:rsidP="00E94B56">
      <w:pPr>
        <w:autoSpaceDE w:val="0"/>
        <w:autoSpaceDN w:val="0"/>
        <w:adjustRightInd w:val="0"/>
        <w:spacing w:after="0" w:line="360" w:lineRule="auto"/>
        <w:ind w:firstLine="851"/>
        <w:jc w:val="both"/>
        <w:rPr>
          <w:rFonts w:ascii="Verdana" w:hAnsi="Verdana" w:cs="Times New Roman"/>
          <w:color w:val="000000" w:themeColor="text1"/>
          <w:sz w:val="24"/>
          <w:szCs w:val="24"/>
        </w:rPr>
      </w:pPr>
      <w:r w:rsidRPr="00000646">
        <w:rPr>
          <w:rFonts w:ascii="Verdana" w:hAnsi="Verdana" w:cs="Times New Roman"/>
          <w:color w:val="000000" w:themeColor="text1"/>
          <w:sz w:val="24"/>
          <w:szCs w:val="24"/>
        </w:rPr>
        <w:t>É o voto.</w:t>
      </w:r>
    </w:p>
    <w:p w:rsidR="00F22180" w:rsidRDefault="00F22180" w:rsidP="005032B4">
      <w:pPr>
        <w:tabs>
          <w:tab w:val="left" w:pos="2694"/>
        </w:tabs>
        <w:spacing w:after="0" w:line="360" w:lineRule="auto"/>
        <w:ind w:right="191"/>
        <w:jc w:val="both"/>
        <w:rPr>
          <w:rFonts w:ascii="Verdana" w:eastAsia="Times New Roman" w:hAnsi="Verdana" w:cs="Times New Roman"/>
          <w:b/>
          <w:sz w:val="24"/>
          <w:szCs w:val="24"/>
          <w:u w:val="single"/>
          <w:lang w:eastAsia="pt-BR"/>
        </w:rPr>
      </w:pPr>
    </w:p>
    <w:p w:rsidR="00F22180" w:rsidRDefault="00F22180" w:rsidP="005032B4">
      <w:pPr>
        <w:tabs>
          <w:tab w:val="left" w:pos="2694"/>
        </w:tabs>
        <w:spacing w:after="0" w:line="360" w:lineRule="auto"/>
        <w:ind w:right="191"/>
        <w:jc w:val="both"/>
        <w:rPr>
          <w:rFonts w:ascii="Verdana" w:eastAsia="Times New Roman" w:hAnsi="Verdana" w:cs="Times New Roman"/>
          <w:b/>
          <w:sz w:val="24"/>
          <w:szCs w:val="24"/>
          <w:u w:val="single"/>
          <w:lang w:eastAsia="pt-BR"/>
        </w:rPr>
      </w:pPr>
    </w:p>
    <w:p w:rsidR="00F22180" w:rsidRDefault="00F22180" w:rsidP="005032B4">
      <w:pPr>
        <w:tabs>
          <w:tab w:val="left" w:pos="2694"/>
        </w:tabs>
        <w:spacing w:after="0" w:line="360" w:lineRule="auto"/>
        <w:ind w:right="191"/>
        <w:jc w:val="both"/>
        <w:rPr>
          <w:rFonts w:ascii="Verdana" w:eastAsia="Times New Roman" w:hAnsi="Verdana" w:cs="Times New Roman"/>
          <w:b/>
          <w:sz w:val="24"/>
          <w:szCs w:val="24"/>
          <w:u w:val="single"/>
          <w:lang w:eastAsia="pt-BR"/>
        </w:rPr>
      </w:pPr>
    </w:p>
    <w:p w:rsidR="00F22180" w:rsidRDefault="00F22180" w:rsidP="005032B4">
      <w:pPr>
        <w:tabs>
          <w:tab w:val="left" w:pos="2694"/>
        </w:tabs>
        <w:spacing w:after="0" w:line="360" w:lineRule="auto"/>
        <w:ind w:right="191"/>
        <w:jc w:val="both"/>
        <w:rPr>
          <w:rFonts w:ascii="Verdana" w:eastAsia="Times New Roman" w:hAnsi="Verdana" w:cs="Times New Roman"/>
          <w:b/>
          <w:sz w:val="24"/>
          <w:szCs w:val="24"/>
          <w:u w:val="single"/>
          <w:lang w:eastAsia="pt-BR"/>
        </w:rPr>
      </w:pPr>
    </w:p>
    <w:p w:rsidR="00F22180" w:rsidRDefault="00F22180" w:rsidP="005032B4">
      <w:pPr>
        <w:tabs>
          <w:tab w:val="left" w:pos="2694"/>
        </w:tabs>
        <w:spacing w:after="0" w:line="360" w:lineRule="auto"/>
        <w:ind w:right="191"/>
        <w:jc w:val="both"/>
        <w:rPr>
          <w:rFonts w:ascii="Verdana" w:eastAsia="Times New Roman" w:hAnsi="Verdana" w:cs="Times New Roman"/>
          <w:b/>
          <w:sz w:val="24"/>
          <w:szCs w:val="24"/>
          <w:u w:val="single"/>
          <w:lang w:eastAsia="pt-BR"/>
        </w:rPr>
      </w:pPr>
    </w:p>
    <w:p w:rsidR="00F22180" w:rsidRDefault="00F22180" w:rsidP="005032B4">
      <w:pPr>
        <w:tabs>
          <w:tab w:val="left" w:pos="2694"/>
        </w:tabs>
        <w:spacing w:after="0" w:line="360" w:lineRule="auto"/>
        <w:ind w:right="191"/>
        <w:jc w:val="both"/>
        <w:rPr>
          <w:rFonts w:ascii="Verdana" w:eastAsia="Times New Roman" w:hAnsi="Verdana" w:cs="Times New Roman"/>
          <w:b/>
          <w:sz w:val="24"/>
          <w:szCs w:val="24"/>
          <w:u w:val="single"/>
          <w:lang w:eastAsia="pt-BR"/>
        </w:rPr>
      </w:pPr>
    </w:p>
    <w:p w:rsidR="00F22180" w:rsidRDefault="00F22180" w:rsidP="005032B4">
      <w:pPr>
        <w:tabs>
          <w:tab w:val="left" w:pos="2694"/>
        </w:tabs>
        <w:spacing w:after="0" w:line="360" w:lineRule="auto"/>
        <w:ind w:right="191"/>
        <w:jc w:val="both"/>
        <w:rPr>
          <w:rFonts w:ascii="Verdana" w:eastAsia="Times New Roman" w:hAnsi="Verdana" w:cs="Times New Roman"/>
          <w:b/>
          <w:sz w:val="24"/>
          <w:szCs w:val="24"/>
          <w:u w:val="single"/>
          <w:lang w:eastAsia="pt-BR"/>
        </w:rPr>
      </w:pPr>
    </w:p>
    <w:p w:rsidR="00F22180" w:rsidRDefault="00F22180" w:rsidP="005032B4">
      <w:pPr>
        <w:tabs>
          <w:tab w:val="left" w:pos="2694"/>
        </w:tabs>
        <w:spacing w:after="0" w:line="360" w:lineRule="auto"/>
        <w:ind w:right="191"/>
        <w:jc w:val="both"/>
        <w:rPr>
          <w:rFonts w:ascii="Verdana" w:eastAsia="Times New Roman" w:hAnsi="Verdana" w:cs="Times New Roman"/>
          <w:b/>
          <w:sz w:val="24"/>
          <w:szCs w:val="24"/>
          <w:u w:val="single"/>
          <w:lang w:eastAsia="pt-BR"/>
        </w:rPr>
      </w:pPr>
    </w:p>
    <w:p w:rsidR="00F22180" w:rsidRDefault="00F22180" w:rsidP="005032B4">
      <w:pPr>
        <w:tabs>
          <w:tab w:val="left" w:pos="2694"/>
        </w:tabs>
        <w:spacing w:after="0" w:line="360" w:lineRule="auto"/>
        <w:ind w:right="191"/>
        <w:jc w:val="both"/>
        <w:rPr>
          <w:rFonts w:ascii="Verdana" w:eastAsia="Times New Roman" w:hAnsi="Verdana" w:cs="Times New Roman"/>
          <w:b/>
          <w:sz w:val="24"/>
          <w:szCs w:val="24"/>
          <w:u w:val="single"/>
          <w:lang w:eastAsia="pt-BR"/>
        </w:rPr>
      </w:pPr>
    </w:p>
    <w:p w:rsidR="00F22180" w:rsidRDefault="00F22180" w:rsidP="005032B4">
      <w:pPr>
        <w:tabs>
          <w:tab w:val="left" w:pos="2694"/>
        </w:tabs>
        <w:spacing w:after="0" w:line="360" w:lineRule="auto"/>
        <w:ind w:right="191"/>
        <w:jc w:val="both"/>
        <w:rPr>
          <w:rFonts w:ascii="Verdana" w:eastAsia="Times New Roman" w:hAnsi="Verdana" w:cs="Times New Roman"/>
          <w:b/>
          <w:sz w:val="24"/>
          <w:szCs w:val="24"/>
          <w:u w:val="single"/>
          <w:lang w:eastAsia="pt-BR"/>
        </w:rPr>
      </w:pPr>
    </w:p>
    <w:p w:rsidR="005032B4" w:rsidRPr="00000646" w:rsidRDefault="005032B4" w:rsidP="005032B4">
      <w:pPr>
        <w:tabs>
          <w:tab w:val="left" w:pos="2694"/>
        </w:tabs>
        <w:spacing w:after="0" w:line="360" w:lineRule="auto"/>
        <w:ind w:right="191"/>
        <w:jc w:val="both"/>
        <w:rPr>
          <w:rFonts w:ascii="Verdana" w:eastAsia="Times New Roman" w:hAnsi="Verdana" w:cs="Times New Roman"/>
          <w:b/>
          <w:sz w:val="24"/>
          <w:szCs w:val="24"/>
          <w:lang w:eastAsia="pt-BR"/>
        </w:rPr>
      </w:pPr>
      <w:r w:rsidRPr="00000646">
        <w:rPr>
          <w:rFonts w:ascii="Verdana" w:eastAsia="Times New Roman" w:hAnsi="Verdana" w:cs="Times New Roman"/>
          <w:b/>
          <w:sz w:val="24"/>
          <w:szCs w:val="24"/>
          <w:u w:val="single"/>
          <w:lang w:eastAsia="pt-BR"/>
        </w:rPr>
        <w:t>PARECER DA COMISSÃO</w:t>
      </w:r>
      <w:r w:rsidRPr="00000646">
        <w:rPr>
          <w:rFonts w:ascii="Verdana" w:eastAsia="Times New Roman" w:hAnsi="Verdana" w:cs="Times New Roman"/>
          <w:b/>
          <w:sz w:val="24"/>
          <w:szCs w:val="24"/>
          <w:lang w:eastAsia="pt-BR"/>
        </w:rPr>
        <w:t>:</w:t>
      </w:r>
    </w:p>
    <w:p w:rsidR="005032B4" w:rsidRPr="00000646" w:rsidRDefault="005032B4" w:rsidP="005032B4">
      <w:pPr>
        <w:spacing w:after="0" w:line="240" w:lineRule="auto"/>
        <w:rPr>
          <w:rFonts w:ascii="Verdana" w:eastAsia="Times New Roman" w:hAnsi="Verdana" w:cs="Times New Roman"/>
          <w:sz w:val="24"/>
          <w:szCs w:val="24"/>
          <w:lang w:eastAsia="pt-BR"/>
        </w:rPr>
      </w:pPr>
    </w:p>
    <w:p w:rsidR="005032B4" w:rsidRPr="00000646" w:rsidRDefault="005032B4" w:rsidP="005032B4">
      <w:pPr>
        <w:widowControl w:val="0"/>
        <w:autoSpaceDE w:val="0"/>
        <w:autoSpaceDN w:val="0"/>
        <w:adjustRightInd w:val="0"/>
        <w:spacing w:after="0" w:line="360" w:lineRule="auto"/>
        <w:ind w:firstLine="851"/>
        <w:jc w:val="both"/>
        <w:rPr>
          <w:rFonts w:ascii="Verdana" w:eastAsia="Times New Roman" w:hAnsi="Verdana" w:cs="Times New Roman"/>
          <w:sz w:val="24"/>
          <w:szCs w:val="24"/>
          <w:lang w:eastAsia="pt-BR"/>
        </w:rPr>
      </w:pPr>
      <w:r w:rsidRPr="00000646">
        <w:rPr>
          <w:rFonts w:ascii="Verdana" w:eastAsia="Times New Roman" w:hAnsi="Verdana" w:cs="Times New Roman"/>
          <w:sz w:val="24"/>
          <w:szCs w:val="24"/>
          <w:lang w:eastAsia="pt-BR"/>
        </w:rPr>
        <w:t>Os membros da Comissão de Constituição, Justiça e Cidadania votam pela rejeição</w:t>
      </w:r>
      <w:r w:rsidR="00CB1697">
        <w:rPr>
          <w:rFonts w:ascii="Verdana" w:eastAsia="Times New Roman" w:hAnsi="Verdana" w:cs="Times New Roman"/>
          <w:sz w:val="24"/>
          <w:szCs w:val="24"/>
          <w:lang w:eastAsia="pt-BR"/>
        </w:rPr>
        <w:t xml:space="preserve"> da </w:t>
      </w:r>
      <w:r w:rsidR="00F22180">
        <w:rPr>
          <w:rFonts w:ascii="Verdana" w:eastAsia="Times New Roman" w:hAnsi="Verdana" w:cs="Times New Roman"/>
          <w:sz w:val="24"/>
          <w:szCs w:val="24"/>
          <w:lang w:eastAsia="pt-BR"/>
        </w:rPr>
        <w:t xml:space="preserve">Proposta de </w:t>
      </w:r>
      <w:r w:rsidR="00CB1697">
        <w:rPr>
          <w:rFonts w:ascii="Verdana" w:eastAsia="Times New Roman" w:hAnsi="Verdana" w:cs="Times New Roman"/>
          <w:sz w:val="24"/>
          <w:szCs w:val="24"/>
          <w:lang w:eastAsia="pt-BR"/>
        </w:rPr>
        <w:t xml:space="preserve">Emenda à Constituição </w:t>
      </w:r>
      <w:r w:rsidR="00F22180">
        <w:rPr>
          <w:rFonts w:ascii="Verdana" w:eastAsia="Times New Roman" w:hAnsi="Verdana" w:cs="Times New Roman"/>
          <w:sz w:val="24"/>
          <w:szCs w:val="24"/>
          <w:lang w:eastAsia="pt-BR"/>
        </w:rPr>
        <w:t xml:space="preserve">                           </w:t>
      </w:r>
      <w:r w:rsidR="00CB1697">
        <w:rPr>
          <w:rFonts w:ascii="Verdana" w:eastAsia="Times New Roman" w:hAnsi="Verdana" w:cs="Times New Roman"/>
          <w:sz w:val="24"/>
          <w:szCs w:val="24"/>
          <w:lang w:eastAsia="pt-BR"/>
        </w:rPr>
        <w:t>nº 00</w:t>
      </w:r>
      <w:r w:rsidR="00B037BB">
        <w:rPr>
          <w:rFonts w:ascii="Verdana" w:eastAsia="Times New Roman" w:hAnsi="Verdana" w:cs="Times New Roman"/>
          <w:sz w:val="24"/>
          <w:szCs w:val="24"/>
          <w:lang w:eastAsia="pt-BR"/>
        </w:rPr>
        <w:t>8</w:t>
      </w:r>
      <w:r w:rsidRPr="00000646">
        <w:rPr>
          <w:rFonts w:ascii="Verdana" w:eastAsia="Times New Roman" w:hAnsi="Verdana" w:cs="Times New Roman"/>
          <w:sz w:val="24"/>
          <w:szCs w:val="24"/>
          <w:lang w:eastAsia="pt-BR"/>
        </w:rPr>
        <w:t>/2015, nos termos do voto do relator.</w:t>
      </w:r>
    </w:p>
    <w:p w:rsidR="005032B4" w:rsidRPr="00000646" w:rsidRDefault="005032B4" w:rsidP="005032B4">
      <w:pPr>
        <w:widowControl w:val="0"/>
        <w:autoSpaceDE w:val="0"/>
        <w:autoSpaceDN w:val="0"/>
        <w:adjustRightInd w:val="0"/>
        <w:spacing w:after="0" w:line="360" w:lineRule="auto"/>
        <w:ind w:firstLine="851"/>
        <w:jc w:val="both"/>
        <w:rPr>
          <w:rFonts w:ascii="Verdana" w:eastAsia="Times New Roman" w:hAnsi="Verdana" w:cs="Times New Roman"/>
          <w:sz w:val="24"/>
          <w:szCs w:val="24"/>
          <w:lang w:eastAsia="pt-BR"/>
        </w:rPr>
      </w:pPr>
      <w:r w:rsidRPr="00000646">
        <w:rPr>
          <w:rFonts w:ascii="Verdana" w:eastAsia="Times New Roman" w:hAnsi="Verdana" w:cs="Times New Roman"/>
          <w:sz w:val="24"/>
          <w:szCs w:val="24"/>
          <w:lang w:eastAsia="pt-BR"/>
        </w:rPr>
        <w:t>É o parecer.</w:t>
      </w:r>
    </w:p>
    <w:p w:rsidR="00956FDA" w:rsidRDefault="005032B4" w:rsidP="00992F77">
      <w:pPr>
        <w:spacing w:after="0" w:line="360" w:lineRule="auto"/>
        <w:ind w:firstLine="851"/>
        <w:jc w:val="both"/>
        <w:rPr>
          <w:rFonts w:ascii="Verdana" w:eastAsia="Times New Roman" w:hAnsi="Verdana" w:cs="Times New Roman"/>
          <w:sz w:val="24"/>
          <w:szCs w:val="24"/>
          <w:lang w:eastAsia="pt-BR"/>
        </w:rPr>
      </w:pPr>
      <w:r w:rsidRPr="00000646">
        <w:rPr>
          <w:rFonts w:ascii="Verdana" w:eastAsia="Times New Roman" w:hAnsi="Verdana" w:cs="Times New Roman"/>
          <w:sz w:val="24"/>
          <w:szCs w:val="24"/>
          <w:lang w:eastAsia="pt-BR"/>
        </w:rPr>
        <w:t>SALA DAS COMISSÕE</w:t>
      </w:r>
      <w:r w:rsidR="00000646">
        <w:rPr>
          <w:rFonts w:ascii="Verdana" w:eastAsia="Times New Roman" w:hAnsi="Verdana" w:cs="Times New Roman"/>
          <w:sz w:val="24"/>
          <w:szCs w:val="24"/>
          <w:lang w:eastAsia="pt-BR"/>
        </w:rPr>
        <w:t>S “DEPUTADO LÉO FRANKLIM”, em 18</w:t>
      </w:r>
      <w:r w:rsidRPr="00000646">
        <w:rPr>
          <w:rFonts w:ascii="Verdana" w:eastAsia="Times New Roman" w:hAnsi="Verdana" w:cs="Times New Roman"/>
          <w:sz w:val="24"/>
          <w:szCs w:val="24"/>
          <w:lang w:eastAsia="pt-BR"/>
        </w:rPr>
        <w:t xml:space="preserve"> de </w:t>
      </w:r>
      <w:r w:rsidR="00000646">
        <w:rPr>
          <w:rFonts w:ascii="Verdana" w:eastAsia="Times New Roman" w:hAnsi="Verdana" w:cs="Times New Roman"/>
          <w:sz w:val="24"/>
          <w:szCs w:val="24"/>
          <w:lang w:eastAsia="pt-BR"/>
        </w:rPr>
        <w:t>agosto</w:t>
      </w:r>
      <w:r w:rsidRPr="00000646">
        <w:rPr>
          <w:rFonts w:ascii="Verdana" w:eastAsia="Times New Roman" w:hAnsi="Verdana" w:cs="Times New Roman"/>
          <w:sz w:val="24"/>
          <w:szCs w:val="24"/>
          <w:lang w:eastAsia="pt-BR"/>
        </w:rPr>
        <w:t xml:space="preserve"> de 2015.  </w:t>
      </w:r>
      <w:r w:rsidR="00992F77" w:rsidRPr="00000646">
        <w:rPr>
          <w:rFonts w:ascii="Verdana" w:eastAsia="Times New Roman" w:hAnsi="Verdana" w:cs="Times New Roman"/>
          <w:sz w:val="24"/>
          <w:szCs w:val="24"/>
          <w:lang w:eastAsia="pt-BR"/>
        </w:rPr>
        <w:t xml:space="preserve">          </w:t>
      </w:r>
    </w:p>
    <w:p w:rsidR="00956FDA" w:rsidRDefault="0097386F" w:rsidP="00956FDA">
      <w:pPr>
        <w:spacing w:after="0" w:line="480" w:lineRule="auto"/>
        <w:ind w:left="3402"/>
        <w:rPr>
          <w:rFonts w:ascii="Verdana" w:hAnsi="Verdana" w:cs="Times New Roman"/>
          <w:sz w:val="24"/>
          <w:szCs w:val="24"/>
        </w:rPr>
      </w:pPr>
      <w:r>
        <w:rPr>
          <w:rFonts w:ascii="Verdana" w:hAnsi="Verdana" w:cs="Times New Roman"/>
          <w:sz w:val="24"/>
          <w:szCs w:val="24"/>
        </w:rPr>
        <w:t xml:space="preserve"> </w:t>
      </w:r>
      <w:r w:rsidR="00956FDA">
        <w:rPr>
          <w:rFonts w:ascii="Verdana" w:hAnsi="Verdana" w:cs="Times New Roman"/>
          <w:sz w:val="24"/>
          <w:szCs w:val="24"/>
        </w:rPr>
        <w:t>D</w:t>
      </w:r>
      <w:r w:rsidR="00956FDA">
        <w:rPr>
          <w:rFonts w:ascii="Verdana" w:hAnsi="Verdana" w:cs="Times New Roman"/>
          <w:sz w:val="24"/>
          <w:szCs w:val="24"/>
        </w:rPr>
        <w:t xml:space="preserve">eputado Marco Aurélio- Presidente </w:t>
      </w:r>
    </w:p>
    <w:p w:rsidR="00956FDA" w:rsidRDefault="00956FDA" w:rsidP="00956FDA">
      <w:pPr>
        <w:spacing w:after="0" w:line="480" w:lineRule="auto"/>
        <w:rPr>
          <w:rFonts w:ascii="Verdana" w:hAnsi="Verdana" w:cs="Times New Roman"/>
          <w:sz w:val="24"/>
          <w:szCs w:val="24"/>
        </w:rPr>
      </w:pPr>
      <w:r>
        <w:rPr>
          <w:rFonts w:ascii="Verdana" w:hAnsi="Verdana" w:cs="Times New Roman"/>
          <w:sz w:val="24"/>
          <w:szCs w:val="24"/>
        </w:rPr>
        <w:t xml:space="preserve">                                        </w:t>
      </w:r>
      <w:r w:rsidR="0097386F">
        <w:rPr>
          <w:rFonts w:ascii="Verdana" w:hAnsi="Verdana" w:cs="Times New Roman"/>
          <w:sz w:val="24"/>
          <w:szCs w:val="24"/>
        </w:rPr>
        <w:t xml:space="preserve"> </w:t>
      </w:r>
      <w:r>
        <w:rPr>
          <w:rFonts w:ascii="Verdana" w:hAnsi="Verdana" w:cs="Times New Roman"/>
          <w:sz w:val="24"/>
          <w:szCs w:val="24"/>
        </w:rPr>
        <w:t xml:space="preserve">Deputado </w:t>
      </w:r>
      <w:r w:rsidR="0097386F">
        <w:rPr>
          <w:rFonts w:ascii="Verdana" w:hAnsi="Verdana" w:cs="Times New Roman"/>
          <w:sz w:val="24"/>
          <w:szCs w:val="24"/>
        </w:rPr>
        <w:t>Fábio Macêdo</w:t>
      </w:r>
      <w:r>
        <w:rPr>
          <w:rFonts w:ascii="Verdana" w:hAnsi="Verdana" w:cs="Times New Roman"/>
          <w:sz w:val="24"/>
          <w:szCs w:val="24"/>
        </w:rPr>
        <w:t>- Relator</w:t>
      </w:r>
    </w:p>
    <w:p w:rsidR="00956FDA" w:rsidRDefault="0097386F" w:rsidP="00956FDA">
      <w:pPr>
        <w:spacing w:after="0" w:line="480" w:lineRule="auto"/>
        <w:ind w:left="2124" w:firstLine="708"/>
        <w:rPr>
          <w:rFonts w:ascii="Verdana" w:hAnsi="Verdana" w:cs="Times New Roman"/>
          <w:sz w:val="24"/>
          <w:szCs w:val="24"/>
        </w:rPr>
      </w:pPr>
      <w:r>
        <w:rPr>
          <w:rFonts w:ascii="Verdana" w:hAnsi="Verdana" w:cs="Times New Roman"/>
          <w:sz w:val="24"/>
          <w:szCs w:val="24"/>
        </w:rPr>
        <w:t xml:space="preserve">       Deputado Paulo Neto</w:t>
      </w:r>
    </w:p>
    <w:p w:rsidR="00956FDA" w:rsidRDefault="00956FDA" w:rsidP="00956FDA">
      <w:pPr>
        <w:spacing w:after="0" w:line="480" w:lineRule="auto"/>
        <w:ind w:left="2124" w:firstLine="708"/>
        <w:rPr>
          <w:rFonts w:ascii="Verdana" w:hAnsi="Verdana" w:cs="Times New Roman"/>
          <w:sz w:val="24"/>
          <w:szCs w:val="24"/>
        </w:rPr>
      </w:pPr>
      <w:r>
        <w:rPr>
          <w:rFonts w:ascii="Verdana" w:hAnsi="Verdana" w:cs="Times New Roman"/>
          <w:sz w:val="24"/>
          <w:szCs w:val="24"/>
        </w:rPr>
        <w:t xml:space="preserve">     </w:t>
      </w:r>
      <w:r w:rsidR="0097386F">
        <w:rPr>
          <w:rFonts w:ascii="Verdana" w:hAnsi="Verdana" w:cs="Times New Roman"/>
          <w:sz w:val="24"/>
          <w:szCs w:val="24"/>
        </w:rPr>
        <w:t xml:space="preserve"> </w:t>
      </w:r>
      <w:r>
        <w:rPr>
          <w:rFonts w:ascii="Verdana" w:hAnsi="Verdana" w:cs="Times New Roman"/>
          <w:sz w:val="24"/>
          <w:szCs w:val="24"/>
        </w:rPr>
        <w:t xml:space="preserve"> Deputado Ricardo Rios</w:t>
      </w:r>
      <w:bookmarkStart w:id="11" w:name="_GoBack"/>
      <w:bookmarkEnd w:id="11"/>
    </w:p>
    <w:p w:rsidR="00992F77" w:rsidRPr="00000646" w:rsidRDefault="00992F77" w:rsidP="00992F77">
      <w:pPr>
        <w:spacing w:after="0" w:line="360" w:lineRule="auto"/>
        <w:ind w:firstLine="851"/>
        <w:jc w:val="both"/>
        <w:rPr>
          <w:rFonts w:ascii="Verdana" w:eastAsia="Times New Roman" w:hAnsi="Verdana" w:cs="Times New Roman"/>
          <w:sz w:val="24"/>
          <w:szCs w:val="24"/>
          <w:lang w:eastAsia="pt-BR"/>
        </w:rPr>
      </w:pPr>
    </w:p>
    <w:sectPr w:rsidR="00992F77" w:rsidRPr="00000646" w:rsidSect="005032B4">
      <w:headerReference w:type="default" r:id="rId11"/>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0EE" w:rsidRDefault="00DF70EE" w:rsidP="001C4230">
      <w:pPr>
        <w:spacing w:after="0" w:line="240" w:lineRule="auto"/>
      </w:pPr>
      <w:r>
        <w:separator/>
      </w:r>
    </w:p>
  </w:endnote>
  <w:endnote w:type="continuationSeparator" w:id="0">
    <w:p w:rsidR="00DF70EE" w:rsidRDefault="00DF70EE"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0EE" w:rsidRDefault="00DF70EE" w:rsidP="001C4230">
      <w:pPr>
        <w:spacing w:after="0" w:line="240" w:lineRule="auto"/>
      </w:pPr>
      <w:r>
        <w:separator/>
      </w:r>
    </w:p>
  </w:footnote>
  <w:footnote w:type="continuationSeparator" w:id="0">
    <w:p w:rsidR="00DF70EE" w:rsidRDefault="00DF70EE" w:rsidP="001C4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EE" w:rsidRPr="005032B4" w:rsidRDefault="00DF70EE" w:rsidP="005032B4">
    <w:pPr>
      <w:tabs>
        <w:tab w:val="center" w:pos="4252"/>
        <w:tab w:val="right" w:pos="8504"/>
      </w:tabs>
      <w:spacing w:after="0" w:line="240" w:lineRule="auto"/>
      <w:ind w:right="360"/>
      <w:jc w:val="center"/>
      <w:rPr>
        <w:rFonts w:ascii="Times New Roman" w:eastAsia="Times New Roman" w:hAnsi="Times New Roman" w:cs="Times New Roman"/>
        <w:b/>
        <w:color w:val="000080"/>
        <w:sz w:val="18"/>
        <w:szCs w:val="18"/>
        <w:lang w:eastAsia="pt-BR"/>
      </w:rPr>
    </w:pPr>
    <w:r>
      <w:rPr>
        <w:rFonts w:ascii="Times New Roman" w:eastAsia="Times New Roman" w:hAnsi="Times New Roman" w:cs="Times New Roman"/>
        <w:noProof/>
        <w:sz w:val="18"/>
        <w:szCs w:val="18"/>
        <w:lang w:eastAsia="pt-BR"/>
      </w:rPr>
      <w:drawing>
        <wp:inline distT="0" distB="0" distL="0" distR="0" wp14:anchorId="302687F3" wp14:editId="513A3531">
          <wp:extent cx="942340" cy="819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40" cy="819150"/>
                  </a:xfrm>
                  <a:prstGeom prst="rect">
                    <a:avLst/>
                  </a:prstGeom>
                  <a:noFill/>
                  <a:ln>
                    <a:noFill/>
                  </a:ln>
                </pic:spPr>
              </pic:pic>
            </a:graphicData>
          </a:graphic>
        </wp:inline>
      </w:drawing>
    </w:r>
  </w:p>
  <w:p w:rsidR="00DF70EE" w:rsidRPr="005032B4" w:rsidRDefault="00DF70EE" w:rsidP="005032B4">
    <w:pPr>
      <w:tabs>
        <w:tab w:val="center" w:pos="4252"/>
        <w:tab w:val="right" w:pos="8504"/>
      </w:tabs>
      <w:spacing w:after="0" w:line="240" w:lineRule="auto"/>
      <w:jc w:val="center"/>
      <w:rPr>
        <w:rFonts w:ascii="Times New Roman" w:eastAsia="Times New Roman" w:hAnsi="Times New Roman" w:cs="Times New Roman"/>
        <w:sz w:val="20"/>
        <w:szCs w:val="20"/>
        <w:lang w:eastAsia="pt-BR"/>
      </w:rPr>
    </w:pPr>
    <w:r w:rsidRPr="005032B4">
      <w:rPr>
        <w:rFonts w:ascii="Times New Roman" w:eastAsia="Times New Roman" w:hAnsi="Times New Roman" w:cs="Times New Roman"/>
        <w:sz w:val="20"/>
        <w:szCs w:val="20"/>
        <w:lang w:eastAsia="pt-BR"/>
      </w:rPr>
      <w:t>ESTADO DO MARANHÃO</w:t>
    </w:r>
  </w:p>
  <w:p w:rsidR="00DF70EE" w:rsidRPr="005032B4" w:rsidRDefault="00DF70EE" w:rsidP="005032B4">
    <w:pPr>
      <w:tabs>
        <w:tab w:val="center" w:pos="4252"/>
        <w:tab w:val="right" w:pos="8504"/>
      </w:tabs>
      <w:spacing w:after="0" w:line="240" w:lineRule="auto"/>
      <w:jc w:val="center"/>
      <w:rPr>
        <w:rFonts w:ascii="Times New Roman" w:eastAsia="Times New Roman" w:hAnsi="Times New Roman" w:cs="Times New Roman"/>
        <w:b/>
        <w:sz w:val="20"/>
        <w:szCs w:val="20"/>
        <w:lang w:eastAsia="pt-BR"/>
      </w:rPr>
    </w:pPr>
    <w:r w:rsidRPr="005032B4">
      <w:rPr>
        <w:rFonts w:ascii="Times New Roman" w:eastAsia="Times New Roman" w:hAnsi="Times New Roman" w:cs="Times New Roman"/>
        <w:sz w:val="20"/>
        <w:szCs w:val="20"/>
        <w:lang w:eastAsia="pt-BR"/>
      </w:rPr>
      <w:t>ASSEMBLEIA LEGISLATIVA DO MARANHÃO</w:t>
    </w:r>
  </w:p>
  <w:p w:rsidR="00DF70EE" w:rsidRPr="005032B4" w:rsidRDefault="00DF70EE" w:rsidP="005032B4">
    <w:pPr>
      <w:tabs>
        <w:tab w:val="center" w:pos="4252"/>
        <w:tab w:val="right" w:pos="8504"/>
      </w:tabs>
      <w:spacing w:after="0" w:line="240" w:lineRule="auto"/>
      <w:jc w:val="center"/>
      <w:rPr>
        <w:rFonts w:ascii="Times New Roman" w:eastAsia="Times New Roman" w:hAnsi="Times New Roman" w:cs="Times New Roman"/>
        <w:b/>
        <w:sz w:val="20"/>
        <w:szCs w:val="20"/>
        <w:lang w:eastAsia="pt-BR"/>
      </w:rPr>
    </w:pPr>
    <w:r w:rsidRPr="005032B4">
      <w:rPr>
        <w:rFonts w:ascii="Times New Roman" w:eastAsia="Times New Roman" w:hAnsi="Times New Roman" w:cs="Times New Roman"/>
        <w:b/>
        <w:sz w:val="20"/>
        <w:szCs w:val="20"/>
        <w:lang w:eastAsia="pt-BR"/>
      </w:rPr>
      <w:t>INSTALADA EM 16 DE FEVEREIRO DE 1835</w:t>
    </w:r>
  </w:p>
  <w:p w:rsidR="00DF70EE" w:rsidRPr="005032B4" w:rsidRDefault="00DF70EE" w:rsidP="005032B4">
    <w:pPr>
      <w:tabs>
        <w:tab w:val="left" w:pos="600"/>
        <w:tab w:val="center" w:pos="4252"/>
        <w:tab w:val="right" w:pos="8504"/>
      </w:tabs>
      <w:spacing w:after="0" w:line="240" w:lineRule="auto"/>
      <w:jc w:val="center"/>
      <w:rPr>
        <w:rFonts w:ascii="Verdana" w:eastAsia="Calibri" w:hAnsi="Verdana" w:cs="Times New Roman"/>
        <w:b/>
        <w:sz w:val="20"/>
        <w:szCs w:val="20"/>
      </w:rPr>
    </w:pPr>
    <w:r w:rsidRPr="005032B4">
      <w:rPr>
        <w:rFonts w:ascii="Times New Roman" w:eastAsia="Times New Roman" w:hAnsi="Times New Roman" w:cs="Times New Roman"/>
        <w:sz w:val="20"/>
        <w:szCs w:val="20"/>
        <w:lang w:eastAsia="pt-BR"/>
      </w:rPr>
      <w:t>DIRETORIA LEGISLATIVA</w:t>
    </w:r>
  </w:p>
  <w:p w:rsidR="00DF70EE" w:rsidRPr="005032B4" w:rsidRDefault="00DF70EE" w:rsidP="005032B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30"/>
    <w:rsid w:val="00000646"/>
    <w:rsid w:val="00005E2B"/>
    <w:rsid w:val="000116A7"/>
    <w:rsid w:val="00014DE9"/>
    <w:rsid w:val="00041595"/>
    <w:rsid w:val="00070117"/>
    <w:rsid w:val="00093BBE"/>
    <w:rsid w:val="0009597D"/>
    <w:rsid w:val="00097560"/>
    <w:rsid w:val="00097B04"/>
    <w:rsid w:val="000A04D4"/>
    <w:rsid w:val="000C0095"/>
    <w:rsid w:val="000C32A3"/>
    <w:rsid w:val="000D5C77"/>
    <w:rsid w:val="000E767D"/>
    <w:rsid w:val="000F2485"/>
    <w:rsid w:val="0014322C"/>
    <w:rsid w:val="00183A60"/>
    <w:rsid w:val="00185B20"/>
    <w:rsid w:val="0019434F"/>
    <w:rsid w:val="0019729C"/>
    <w:rsid w:val="001A1040"/>
    <w:rsid w:val="001A4902"/>
    <w:rsid w:val="001A71AA"/>
    <w:rsid w:val="001B331B"/>
    <w:rsid w:val="001C1718"/>
    <w:rsid w:val="001C4230"/>
    <w:rsid w:val="001C5B63"/>
    <w:rsid w:val="001C7259"/>
    <w:rsid w:val="001E7263"/>
    <w:rsid w:val="001F39AA"/>
    <w:rsid w:val="001F626D"/>
    <w:rsid w:val="002025B8"/>
    <w:rsid w:val="00210498"/>
    <w:rsid w:val="00213B40"/>
    <w:rsid w:val="00214085"/>
    <w:rsid w:val="002224D7"/>
    <w:rsid w:val="002709D3"/>
    <w:rsid w:val="0028187D"/>
    <w:rsid w:val="00287885"/>
    <w:rsid w:val="00292A97"/>
    <w:rsid w:val="002B029C"/>
    <w:rsid w:val="0033794D"/>
    <w:rsid w:val="00357CF7"/>
    <w:rsid w:val="00376B75"/>
    <w:rsid w:val="00376F75"/>
    <w:rsid w:val="00377EBB"/>
    <w:rsid w:val="003833DE"/>
    <w:rsid w:val="0039228E"/>
    <w:rsid w:val="003D7BCE"/>
    <w:rsid w:val="003E0905"/>
    <w:rsid w:val="003E4EEE"/>
    <w:rsid w:val="00403D5E"/>
    <w:rsid w:val="00425840"/>
    <w:rsid w:val="004318AE"/>
    <w:rsid w:val="004330B0"/>
    <w:rsid w:val="0044124D"/>
    <w:rsid w:val="0049414E"/>
    <w:rsid w:val="0049782C"/>
    <w:rsid w:val="004D5159"/>
    <w:rsid w:val="004D7755"/>
    <w:rsid w:val="004E1210"/>
    <w:rsid w:val="004F1AE5"/>
    <w:rsid w:val="005032B4"/>
    <w:rsid w:val="0053030A"/>
    <w:rsid w:val="005338FF"/>
    <w:rsid w:val="00534EAD"/>
    <w:rsid w:val="00534F52"/>
    <w:rsid w:val="005818BC"/>
    <w:rsid w:val="005A65D4"/>
    <w:rsid w:val="005B04AA"/>
    <w:rsid w:val="005F3FC5"/>
    <w:rsid w:val="005F46B7"/>
    <w:rsid w:val="005F4E84"/>
    <w:rsid w:val="005F748C"/>
    <w:rsid w:val="00601115"/>
    <w:rsid w:val="00603487"/>
    <w:rsid w:val="00604FEE"/>
    <w:rsid w:val="00613A42"/>
    <w:rsid w:val="00634FD9"/>
    <w:rsid w:val="00636A12"/>
    <w:rsid w:val="0064356D"/>
    <w:rsid w:val="006544E1"/>
    <w:rsid w:val="0065760B"/>
    <w:rsid w:val="00681288"/>
    <w:rsid w:val="00686396"/>
    <w:rsid w:val="006962DA"/>
    <w:rsid w:val="006B4118"/>
    <w:rsid w:val="006E28D8"/>
    <w:rsid w:val="0071344C"/>
    <w:rsid w:val="00743E4C"/>
    <w:rsid w:val="007754AE"/>
    <w:rsid w:val="007B4A52"/>
    <w:rsid w:val="007F48B1"/>
    <w:rsid w:val="007F74D1"/>
    <w:rsid w:val="00816DFB"/>
    <w:rsid w:val="008211EB"/>
    <w:rsid w:val="0082272F"/>
    <w:rsid w:val="00831588"/>
    <w:rsid w:val="00882134"/>
    <w:rsid w:val="008C1ED0"/>
    <w:rsid w:val="008C2FD2"/>
    <w:rsid w:val="008F3695"/>
    <w:rsid w:val="008F4455"/>
    <w:rsid w:val="009175B0"/>
    <w:rsid w:val="009365EB"/>
    <w:rsid w:val="00941949"/>
    <w:rsid w:val="00956FDA"/>
    <w:rsid w:val="00966649"/>
    <w:rsid w:val="0097386F"/>
    <w:rsid w:val="0098578D"/>
    <w:rsid w:val="00985F7D"/>
    <w:rsid w:val="00992F77"/>
    <w:rsid w:val="00994A64"/>
    <w:rsid w:val="00994E41"/>
    <w:rsid w:val="009B0DFD"/>
    <w:rsid w:val="009C690E"/>
    <w:rsid w:val="00A414F0"/>
    <w:rsid w:val="00A41E06"/>
    <w:rsid w:val="00A6221C"/>
    <w:rsid w:val="00A62C8C"/>
    <w:rsid w:val="00A807F1"/>
    <w:rsid w:val="00A829A5"/>
    <w:rsid w:val="00A8732B"/>
    <w:rsid w:val="00AE1D60"/>
    <w:rsid w:val="00AE3473"/>
    <w:rsid w:val="00AF75FE"/>
    <w:rsid w:val="00B00CFE"/>
    <w:rsid w:val="00B037BB"/>
    <w:rsid w:val="00B3628A"/>
    <w:rsid w:val="00B72609"/>
    <w:rsid w:val="00B77B98"/>
    <w:rsid w:val="00BD38DF"/>
    <w:rsid w:val="00BE0A00"/>
    <w:rsid w:val="00BE7520"/>
    <w:rsid w:val="00BF1589"/>
    <w:rsid w:val="00C13073"/>
    <w:rsid w:val="00C539B3"/>
    <w:rsid w:val="00C53E09"/>
    <w:rsid w:val="00C53E26"/>
    <w:rsid w:val="00C70616"/>
    <w:rsid w:val="00C9259F"/>
    <w:rsid w:val="00CA2F05"/>
    <w:rsid w:val="00CA5180"/>
    <w:rsid w:val="00CB026A"/>
    <w:rsid w:val="00CB1697"/>
    <w:rsid w:val="00CD01D0"/>
    <w:rsid w:val="00CD4398"/>
    <w:rsid w:val="00CD73A6"/>
    <w:rsid w:val="00D035B4"/>
    <w:rsid w:val="00D211E0"/>
    <w:rsid w:val="00D238DE"/>
    <w:rsid w:val="00D27079"/>
    <w:rsid w:val="00D3144A"/>
    <w:rsid w:val="00D35FD0"/>
    <w:rsid w:val="00D37D5C"/>
    <w:rsid w:val="00D4589B"/>
    <w:rsid w:val="00D53799"/>
    <w:rsid w:val="00D80554"/>
    <w:rsid w:val="00D86252"/>
    <w:rsid w:val="00D96D3B"/>
    <w:rsid w:val="00DA741A"/>
    <w:rsid w:val="00DB5666"/>
    <w:rsid w:val="00DC47AC"/>
    <w:rsid w:val="00DC692B"/>
    <w:rsid w:val="00DD077A"/>
    <w:rsid w:val="00DF70EE"/>
    <w:rsid w:val="00E04AE3"/>
    <w:rsid w:val="00E22E9C"/>
    <w:rsid w:val="00E24644"/>
    <w:rsid w:val="00E42325"/>
    <w:rsid w:val="00E5786E"/>
    <w:rsid w:val="00E6248C"/>
    <w:rsid w:val="00E63594"/>
    <w:rsid w:val="00E656C7"/>
    <w:rsid w:val="00E72CA3"/>
    <w:rsid w:val="00E90AC1"/>
    <w:rsid w:val="00E94B56"/>
    <w:rsid w:val="00EB2E3C"/>
    <w:rsid w:val="00EC4BCF"/>
    <w:rsid w:val="00ED2674"/>
    <w:rsid w:val="00ED5DE9"/>
    <w:rsid w:val="00EE0BA7"/>
    <w:rsid w:val="00EE573E"/>
    <w:rsid w:val="00EF5513"/>
    <w:rsid w:val="00F143CE"/>
    <w:rsid w:val="00F22180"/>
    <w:rsid w:val="00F25221"/>
    <w:rsid w:val="00F45A03"/>
    <w:rsid w:val="00F6728A"/>
    <w:rsid w:val="00F76DCF"/>
    <w:rsid w:val="00FA0D58"/>
    <w:rsid w:val="00FB0A01"/>
    <w:rsid w:val="00FB42A1"/>
    <w:rsid w:val="00FC6945"/>
    <w:rsid w:val="00FC7DAC"/>
    <w:rsid w:val="00FD32F7"/>
    <w:rsid w:val="00FD638E"/>
    <w:rsid w:val="00FE333E"/>
    <w:rsid w:val="00FF5BF0"/>
    <w:rsid w:val="00FF72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A3CDC-1783-4C9E-AAD1-C5D4557C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5032B4"/>
    <w:pPr>
      <w:keepNext/>
      <w:spacing w:after="0" w:line="240" w:lineRule="auto"/>
      <w:outlineLvl w:val="0"/>
    </w:pPr>
    <w:rPr>
      <w:rFonts w:ascii="Times New Roman" w:eastAsia="Times New Roman" w:hAnsi="Times New Roman" w:cs="Times New Roman"/>
      <w:b/>
      <w:sz w:val="28"/>
      <w:szCs w:val="20"/>
      <w:lang w:eastAsia="pt-BR"/>
    </w:rPr>
  </w:style>
  <w:style w:type="paragraph" w:styleId="Ttulo2">
    <w:name w:val="heading 2"/>
    <w:basedOn w:val="Normal"/>
    <w:next w:val="Normal"/>
    <w:link w:val="Ttulo2Char"/>
    <w:qFormat/>
    <w:rsid w:val="005032B4"/>
    <w:pPr>
      <w:keepNext/>
      <w:spacing w:after="0" w:line="240" w:lineRule="auto"/>
      <w:jc w:val="center"/>
      <w:outlineLvl w:val="1"/>
    </w:pPr>
    <w:rPr>
      <w:rFonts w:ascii="Arial" w:eastAsia="Times New Roman" w:hAnsi="Arial"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character" w:customStyle="1" w:styleId="apple-converted-space">
    <w:name w:val="apple-converted-space"/>
    <w:basedOn w:val="Fontepargpadro"/>
    <w:rsid w:val="0049782C"/>
  </w:style>
  <w:style w:type="character" w:styleId="nfase">
    <w:name w:val="Emphasis"/>
    <w:basedOn w:val="Fontepargpadro"/>
    <w:uiPriority w:val="20"/>
    <w:qFormat/>
    <w:rsid w:val="0049782C"/>
    <w:rPr>
      <w:i/>
      <w:iCs/>
    </w:rPr>
  </w:style>
  <w:style w:type="character" w:styleId="Forte">
    <w:name w:val="Strong"/>
    <w:basedOn w:val="Fontepargpadro"/>
    <w:uiPriority w:val="22"/>
    <w:qFormat/>
    <w:rsid w:val="0049782C"/>
    <w:rPr>
      <w:b/>
      <w:bCs/>
    </w:rPr>
  </w:style>
  <w:style w:type="character" w:styleId="Hyperlink">
    <w:name w:val="Hyperlink"/>
    <w:basedOn w:val="Fontepargpadro"/>
    <w:uiPriority w:val="99"/>
    <w:semiHidden/>
    <w:unhideWhenUsed/>
    <w:rsid w:val="00FC7DAC"/>
    <w:rPr>
      <w:color w:val="0000FF"/>
      <w:u w:val="single"/>
    </w:rPr>
  </w:style>
  <w:style w:type="paragraph" w:styleId="NormalWeb">
    <w:name w:val="Normal (Web)"/>
    <w:basedOn w:val="Normal"/>
    <w:uiPriority w:val="99"/>
    <w:unhideWhenUsed/>
    <w:rsid w:val="00FC7D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5032B4"/>
    <w:rPr>
      <w:rFonts w:ascii="Times New Roman" w:eastAsia="Times New Roman" w:hAnsi="Times New Roman" w:cs="Times New Roman"/>
      <w:b/>
      <w:sz w:val="28"/>
      <w:szCs w:val="20"/>
      <w:lang w:eastAsia="pt-BR"/>
    </w:rPr>
  </w:style>
  <w:style w:type="character" w:customStyle="1" w:styleId="Ttulo2Char">
    <w:name w:val="Título 2 Char"/>
    <w:basedOn w:val="Fontepargpadro"/>
    <w:link w:val="Ttulo2"/>
    <w:rsid w:val="005032B4"/>
    <w:rPr>
      <w:rFonts w:ascii="Arial" w:eastAsia="Times New Roman" w:hAnsi="Arial" w:cs="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2612">
      <w:bodyDiv w:val="1"/>
      <w:marLeft w:val="0"/>
      <w:marRight w:val="0"/>
      <w:marTop w:val="0"/>
      <w:marBottom w:val="0"/>
      <w:divBdr>
        <w:top w:val="none" w:sz="0" w:space="0" w:color="auto"/>
        <w:left w:val="none" w:sz="0" w:space="0" w:color="auto"/>
        <w:bottom w:val="none" w:sz="0" w:space="0" w:color="auto"/>
        <w:right w:val="none" w:sz="0" w:space="0" w:color="auto"/>
      </w:divBdr>
    </w:div>
    <w:div w:id="1341202869">
      <w:bodyDiv w:val="1"/>
      <w:marLeft w:val="0"/>
      <w:marRight w:val="0"/>
      <w:marTop w:val="0"/>
      <w:marBottom w:val="0"/>
      <w:divBdr>
        <w:top w:val="none" w:sz="0" w:space="0" w:color="auto"/>
        <w:left w:val="none" w:sz="0" w:space="0" w:color="auto"/>
        <w:bottom w:val="none" w:sz="0" w:space="0" w:color="auto"/>
        <w:right w:val="none" w:sz="0" w:space="0" w:color="auto"/>
      </w:divBdr>
    </w:div>
    <w:div w:id="17280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Emendas/Emc/emc18.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nalto.gov.br/ccivil_03/constituicao/Emendas/Emc/emc32.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constituicao/Emendas/Emc/emc18.ht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jus.com.br/artigos/31084/iniciativa-para-emendar-a-constituicao-versus-iniciativa-legislativa-reservada-do-chefe-do-poder-executivo" TargetMode="External"/><Relationship Id="rId4" Type="http://schemas.openxmlformats.org/officeDocument/2006/relationships/footnotes" Target="footnotes.xml"/><Relationship Id="rId9" Type="http://schemas.openxmlformats.org/officeDocument/2006/relationships/hyperlink" Target="http://jus.com.br/988480-gentil-ferreira-de-souza-neto/public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1873</Words>
  <Characters>10116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Anderson Abreu Rocha</dc:creator>
  <cp:lastModifiedBy>maneton</cp:lastModifiedBy>
  <cp:revision>2</cp:revision>
  <cp:lastPrinted>2015-08-12T13:06:00Z</cp:lastPrinted>
  <dcterms:created xsi:type="dcterms:W3CDTF">2015-08-18T12:47:00Z</dcterms:created>
  <dcterms:modified xsi:type="dcterms:W3CDTF">2015-08-18T12:47:00Z</dcterms:modified>
</cp:coreProperties>
</file>