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72B5BA" w14:textId="77777777" w:rsidR="00657843" w:rsidRPr="00657843" w:rsidRDefault="00657843" w:rsidP="00657843">
      <w:pPr>
        <w:keepNext/>
        <w:spacing w:line="360" w:lineRule="auto"/>
        <w:jc w:val="center"/>
        <w:outlineLvl w:val="0"/>
        <w:rPr>
          <w:rFonts w:eastAsia="Calibri"/>
          <w:b/>
          <w:bCs/>
          <w:kern w:val="32"/>
          <w:sz w:val="22"/>
          <w:szCs w:val="22"/>
          <w:u w:val="single"/>
        </w:rPr>
      </w:pPr>
      <w:r w:rsidRPr="00657843">
        <w:rPr>
          <w:rFonts w:eastAsia="Calibri"/>
          <w:b/>
          <w:bCs/>
          <w:kern w:val="32"/>
          <w:sz w:val="22"/>
          <w:szCs w:val="22"/>
          <w:u w:val="single"/>
        </w:rPr>
        <w:t>COMISSÃO DE CONSTITUIÇÃO, JUSTIÇA E CIDADANIA</w:t>
      </w:r>
    </w:p>
    <w:p w14:paraId="23B28414" w14:textId="6B667374" w:rsidR="00657843" w:rsidRDefault="00657843" w:rsidP="00657843">
      <w:pPr>
        <w:keepNext/>
        <w:spacing w:line="360" w:lineRule="auto"/>
        <w:jc w:val="center"/>
        <w:outlineLvl w:val="1"/>
        <w:rPr>
          <w:rFonts w:eastAsia="Calibri"/>
          <w:b/>
          <w:bCs/>
          <w:iCs/>
          <w:sz w:val="22"/>
          <w:szCs w:val="22"/>
          <w:u w:val="single"/>
        </w:rPr>
      </w:pPr>
      <w:r w:rsidRPr="00657843">
        <w:rPr>
          <w:rFonts w:eastAsia="Calibri"/>
          <w:b/>
          <w:bCs/>
          <w:iCs/>
          <w:sz w:val="22"/>
          <w:szCs w:val="22"/>
          <w:u w:val="single"/>
        </w:rPr>
        <w:t>P A R E C E R Nº</w:t>
      </w:r>
      <w:r w:rsidR="00A863DF">
        <w:rPr>
          <w:rFonts w:eastAsia="Calibri"/>
          <w:b/>
          <w:bCs/>
          <w:iCs/>
          <w:sz w:val="22"/>
          <w:szCs w:val="22"/>
          <w:u w:val="single"/>
        </w:rPr>
        <w:t xml:space="preserve"> 259</w:t>
      </w:r>
      <w:r w:rsidRPr="00657843">
        <w:rPr>
          <w:rFonts w:eastAsia="Calibri"/>
          <w:b/>
          <w:bCs/>
          <w:iCs/>
          <w:sz w:val="22"/>
          <w:szCs w:val="22"/>
          <w:u w:val="single"/>
        </w:rPr>
        <w:t>/20</w:t>
      </w:r>
      <w:r w:rsidR="00C972FB">
        <w:rPr>
          <w:rFonts w:eastAsia="Calibri"/>
          <w:b/>
          <w:bCs/>
          <w:iCs/>
          <w:sz w:val="22"/>
          <w:szCs w:val="22"/>
          <w:u w:val="single"/>
        </w:rPr>
        <w:t>2</w:t>
      </w:r>
      <w:r w:rsidR="00365B29">
        <w:rPr>
          <w:rFonts w:eastAsia="Calibri"/>
          <w:b/>
          <w:bCs/>
          <w:iCs/>
          <w:sz w:val="22"/>
          <w:szCs w:val="22"/>
          <w:u w:val="single"/>
        </w:rPr>
        <w:t>5</w:t>
      </w:r>
    </w:p>
    <w:p w14:paraId="3419B89C" w14:textId="77777777" w:rsidR="00F40F90" w:rsidRPr="00657843" w:rsidRDefault="00F40F90" w:rsidP="00657843">
      <w:pPr>
        <w:keepNext/>
        <w:spacing w:line="360" w:lineRule="auto"/>
        <w:jc w:val="center"/>
        <w:outlineLvl w:val="1"/>
        <w:rPr>
          <w:rFonts w:eastAsia="Calibri"/>
          <w:b/>
          <w:bCs/>
          <w:iCs/>
          <w:sz w:val="22"/>
          <w:szCs w:val="22"/>
          <w:u w:val="single"/>
        </w:rPr>
      </w:pPr>
    </w:p>
    <w:p w14:paraId="1281AF23" w14:textId="77777777" w:rsidR="00657843" w:rsidRPr="00657843" w:rsidRDefault="00657843" w:rsidP="00657843">
      <w:pPr>
        <w:spacing w:line="360" w:lineRule="auto"/>
        <w:jc w:val="both"/>
        <w:rPr>
          <w:b/>
          <w:sz w:val="22"/>
          <w:szCs w:val="22"/>
          <w:u w:val="single"/>
        </w:rPr>
      </w:pPr>
      <w:r w:rsidRPr="00657843">
        <w:rPr>
          <w:b/>
          <w:sz w:val="22"/>
          <w:szCs w:val="22"/>
          <w:u w:val="single"/>
        </w:rPr>
        <w:t>RELATÓRIO:</w:t>
      </w:r>
    </w:p>
    <w:p w14:paraId="02F8DA23" w14:textId="6F5C954F" w:rsidR="00F40F90" w:rsidRPr="00F40F90" w:rsidRDefault="00657843" w:rsidP="00F40F90">
      <w:pPr>
        <w:pStyle w:val="Ementa"/>
        <w:spacing w:before="0" w:after="0" w:line="360" w:lineRule="auto"/>
        <w:ind w:left="0" w:firstLine="709"/>
        <w:rPr>
          <w:rFonts w:ascii="Times New Roman" w:hAnsi="Times New Roman"/>
          <w:i w:val="0"/>
          <w:szCs w:val="24"/>
        </w:rPr>
      </w:pPr>
      <w:r w:rsidRPr="0075034E">
        <w:rPr>
          <w:rFonts w:ascii="Times New Roman" w:hAnsi="Times New Roman"/>
          <w:i w:val="0"/>
          <w:color w:val="000000" w:themeColor="text1"/>
          <w:szCs w:val="24"/>
        </w:rPr>
        <w:t xml:space="preserve">Cuida-se da </w:t>
      </w:r>
      <w:r w:rsidRPr="0075034E">
        <w:rPr>
          <w:rFonts w:ascii="Times New Roman" w:hAnsi="Times New Roman"/>
          <w:b/>
          <w:i w:val="0"/>
          <w:color w:val="000000" w:themeColor="text1"/>
          <w:szCs w:val="24"/>
        </w:rPr>
        <w:t xml:space="preserve">análise de constitucionalidade, juridicidade, legalidade e técnica legislativa do </w:t>
      </w:r>
      <w:r w:rsidR="008A4DD5" w:rsidRPr="0075034E">
        <w:rPr>
          <w:rFonts w:ascii="Times New Roman" w:hAnsi="Times New Roman"/>
          <w:b/>
          <w:i w:val="0"/>
          <w:szCs w:val="24"/>
        </w:rPr>
        <w:t xml:space="preserve">Projeto </w:t>
      </w:r>
      <w:r w:rsidR="00266CF2" w:rsidRPr="0075034E">
        <w:rPr>
          <w:rFonts w:ascii="Times New Roman" w:hAnsi="Times New Roman"/>
          <w:b/>
          <w:i w:val="0"/>
          <w:szCs w:val="24"/>
        </w:rPr>
        <w:t xml:space="preserve">de </w:t>
      </w:r>
      <w:r w:rsidR="008A4DD5" w:rsidRPr="0075034E">
        <w:rPr>
          <w:rFonts w:ascii="Times New Roman" w:hAnsi="Times New Roman"/>
          <w:b/>
          <w:i w:val="0"/>
          <w:szCs w:val="24"/>
        </w:rPr>
        <w:t>Lei</w:t>
      </w:r>
      <w:r w:rsidR="005F567F" w:rsidRPr="0075034E">
        <w:rPr>
          <w:rFonts w:ascii="Times New Roman" w:hAnsi="Times New Roman"/>
          <w:b/>
          <w:i w:val="0"/>
          <w:szCs w:val="24"/>
        </w:rPr>
        <w:t xml:space="preserve"> nº </w:t>
      </w:r>
      <w:r w:rsidR="00365B29">
        <w:rPr>
          <w:rFonts w:ascii="Times New Roman" w:hAnsi="Times New Roman"/>
          <w:b/>
          <w:i w:val="0"/>
          <w:szCs w:val="24"/>
        </w:rPr>
        <w:t>1</w:t>
      </w:r>
      <w:r w:rsidR="00F40F90">
        <w:rPr>
          <w:rFonts w:ascii="Times New Roman" w:hAnsi="Times New Roman"/>
          <w:b/>
          <w:i w:val="0"/>
          <w:szCs w:val="24"/>
        </w:rPr>
        <w:t>50</w:t>
      </w:r>
      <w:r w:rsidR="00365B29">
        <w:rPr>
          <w:rFonts w:ascii="Times New Roman" w:hAnsi="Times New Roman"/>
          <w:b/>
          <w:i w:val="0"/>
          <w:szCs w:val="24"/>
        </w:rPr>
        <w:t>/2025</w:t>
      </w:r>
      <w:r w:rsidR="00266CF2" w:rsidRPr="0075034E">
        <w:rPr>
          <w:rFonts w:ascii="Times New Roman" w:hAnsi="Times New Roman"/>
          <w:i w:val="0"/>
          <w:szCs w:val="24"/>
        </w:rPr>
        <w:t xml:space="preserve">, de autoria </w:t>
      </w:r>
      <w:r w:rsidR="008A4DD5" w:rsidRPr="0075034E">
        <w:rPr>
          <w:rFonts w:ascii="Times New Roman" w:hAnsi="Times New Roman"/>
          <w:i w:val="0"/>
          <w:szCs w:val="24"/>
        </w:rPr>
        <w:t>d</w:t>
      </w:r>
      <w:r w:rsidR="00FB23FA" w:rsidRPr="0075034E">
        <w:rPr>
          <w:rFonts w:ascii="Times New Roman" w:hAnsi="Times New Roman"/>
          <w:i w:val="0"/>
          <w:szCs w:val="24"/>
        </w:rPr>
        <w:t>o</w:t>
      </w:r>
      <w:r w:rsidR="00410555" w:rsidRPr="0075034E">
        <w:rPr>
          <w:rFonts w:ascii="Times New Roman" w:hAnsi="Times New Roman"/>
          <w:i w:val="0"/>
          <w:szCs w:val="24"/>
        </w:rPr>
        <w:t xml:space="preserve"> </w:t>
      </w:r>
      <w:r w:rsidR="00266CF2" w:rsidRPr="0075034E">
        <w:rPr>
          <w:rFonts w:ascii="Times New Roman" w:hAnsi="Times New Roman"/>
          <w:i w:val="0"/>
          <w:szCs w:val="24"/>
        </w:rPr>
        <w:t xml:space="preserve">Senhor </w:t>
      </w:r>
      <w:r w:rsidR="00E77444" w:rsidRPr="0075034E">
        <w:rPr>
          <w:rFonts w:ascii="Times New Roman" w:hAnsi="Times New Roman"/>
          <w:i w:val="0"/>
          <w:szCs w:val="24"/>
        </w:rPr>
        <w:t>Deputad</w:t>
      </w:r>
      <w:r w:rsidR="003F0D90">
        <w:rPr>
          <w:rFonts w:ascii="Times New Roman" w:hAnsi="Times New Roman"/>
          <w:i w:val="0"/>
          <w:szCs w:val="24"/>
        </w:rPr>
        <w:t xml:space="preserve">o </w:t>
      </w:r>
      <w:r w:rsidR="00F40F90">
        <w:rPr>
          <w:rFonts w:ascii="Times New Roman" w:hAnsi="Times New Roman"/>
          <w:i w:val="0"/>
          <w:szCs w:val="24"/>
        </w:rPr>
        <w:t xml:space="preserve">Neto Evangelista, </w:t>
      </w:r>
      <w:r w:rsidR="00F40F90" w:rsidRPr="00F40F90">
        <w:rPr>
          <w:rFonts w:ascii="Times New Roman" w:hAnsi="Times New Roman"/>
          <w:i w:val="0"/>
          <w:iCs/>
        </w:rPr>
        <w:t>que “</w:t>
      </w:r>
      <w:r w:rsidR="00F40F90" w:rsidRPr="00F40F90">
        <w:rPr>
          <w:rFonts w:ascii="Times New Roman" w:hAnsi="Times New Roman"/>
          <w:bCs/>
          <w:i w:val="0"/>
          <w:iCs/>
        </w:rPr>
        <w:t xml:space="preserve">Estabelece medidas de proteção do meio ambiente marinho e controle de poluição das águas por navios e embarcações em atividade nos portos do </w:t>
      </w:r>
      <w:r w:rsidR="00A863DF">
        <w:rPr>
          <w:rFonts w:ascii="Times New Roman" w:hAnsi="Times New Roman"/>
          <w:bCs/>
          <w:i w:val="0"/>
          <w:iCs/>
        </w:rPr>
        <w:t>E</w:t>
      </w:r>
      <w:r w:rsidR="00F40F90" w:rsidRPr="00F40F90">
        <w:rPr>
          <w:rFonts w:ascii="Times New Roman" w:hAnsi="Times New Roman"/>
          <w:bCs/>
          <w:i w:val="0"/>
          <w:iCs/>
        </w:rPr>
        <w:t xml:space="preserve">stado do </w:t>
      </w:r>
      <w:r w:rsidR="00A863DF">
        <w:rPr>
          <w:rFonts w:ascii="Times New Roman" w:hAnsi="Times New Roman"/>
          <w:bCs/>
          <w:i w:val="0"/>
          <w:iCs/>
        </w:rPr>
        <w:t>M</w:t>
      </w:r>
      <w:r w:rsidR="00F40F90" w:rsidRPr="00F40F90">
        <w:rPr>
          <w:rFonts w:ascii="Times New Roman" w:hAnsi="Times New Roman"/>
          <w:bCs/>
          <w:i w:val="0"/>
          <w:iCs/>
        </w:rPr>
        <w:t>aranhão, e dá outras providências.</w:t>
      </w:r>
      <w:r w:rsidR="00F40F90" w:rsidRPr="00F40F90">
        <w:rPr>
          <w:rFonts w:ascii="Times New Roman" w:hAnsi="Times New Roman"/>
          <w:i w:val="0"/>
          <w:iCs/>
        </w:rPr>
        <w:t>”</w:t>
      </w:r>
    </w:p>
    <w:p w14:paraId="1FD51402" w14:textId="77777777" w:rsidR="00F40F90" w:rsidRDefault="00F40F90" w:rsidP="00F40F90">
      <w:pPr>
        <w:spacing w:line="360" w:lineRule="auto"/>
        <w:ind w:firstLine="708"/>
        <w:jc w:val="both"/>
      </w:pPr>
      <w:r>
        <w:t xml:space="preserve">Segundo a justificativa do autor, o projeto objetiva </w:t>
      </w:r>
      <w:r w:rsidRPr="0066382E">
        <w:t>implementa</w:t>
      </w:r>
      <w:r>
        <w:t>r</w:t>
      </w:r>
      <w:r w:rsidRPr="0066382E">
        <w:t xml:space="preserve"> uma norma de Controle e Proteção Ambiental, que constitui medida prevista na legislação Brasileira</w:t>
      </w:r>
      <w:r>
        <w:t xml:space="preserve"> </w:t>
      </w:r>
      <w:r w:rsidRPr="0066382E">
        <w:t>e compatível com os termos da Lei nº 9.966</w:t>
      </w:r>
      <w:r>
        <w:t>,</w:t>
      </w:r>
      <w:r w:rsidRPr="0066382E">
        <w:t xml:space="preserve"> de 28 de </w:t>
      </w:r>
      <w:r>
        <w:t>a</w:t>
      </w:r>
      <w:r w:rsidRPr="0066382E">
        <w:t>bril de 2000</w:t>
      </w:r>
      <w:r>
        <w:t>,</w:t>
      </w:r>
      <w:r w:rsidRPr="0066382E">
        <w:t xml:space="preserve"> para a prevenção e combate à poluição no mar e </w:t>
      </w:r>
      <w:r>
        <w:t xml:space="preserve">com </w:t>
      </w:r>
      <w:r w:rsidRPr="0066382E">
        <w:t xml:space="preserve">os termos do Decreto </w:t>
      </w:r>
      <w:r>
        <w:t>n</w:t>
      </w:r>
      <w:r w:rsidRPr="0066382E">
        <w:t>° 10.980</w:t>
      </w:r>
      <w:r>
        <w:t>,</w:t>
      </w:r>
      <w:r w:rsidRPr="0066382E">
        <w:t xml:space="preserve"> de 25 de </w:t>
      </w:r>
      <w:r>
        <w:t>f</w:t>
      </w:r>
      <w:r w:rsidRPr="0066382E">
        <w:t xml:space="preserve">evereiro de 2022, combinados com as Normas da Autoridade Marítima NORMAM-204/DPC e NORMAM-401/DPC, e com a Resolução da ANVISA - RDC N° 72, de 29 de </w:t>
      </w:r>
      <w:r>
        <w:t>d</w:t>
      </w:r>
      <w:r w:rsidRPr="0066382E">
        <w:t>ezembro de 2009, além das Convenções Internacionais</w:t>
      </w:r>
      <w:r>
        <w:t xml:space="preserve"> sobre o tema. </w:t>
      </w:r>
    </w:p>
    <w:p w14:paraId="4C6D5969" w14:textId="77777777" w:rsidR="00F40F90" w:rsidRDefault="00F40F90" w:rsidP="00F40F90">
      <w:pPr>
        <w:spacing w:line="360" w:lineRule="auto"/>
        <w:ind w:firstLine="708"/>
        <w:jc w:val="both"/>
      </w:pPr>
      <w:r>
        <w:t xml:space="preserve">O autor argumenta que </w:t>
      </w:r>
      <w:r w:rsidRPr="00FE2949">
        <w:t xml:space="preserve">apesar da quantidade de normas e convenções para preservação dos mares e do ambiente marinho, a qualidade das águas das áreas portuárias do Estado continua sendo prejudicada pela </w:t>
      </w:r>
      <w:r>
        <w:t>p</w:t>
      </w:r>
      <w:r w:rsidRPr="00FE2949">
        <w:t xml:space="preserve">oluição causada pelo tráfego dos </w:t>
      </w:r>
      <w:r>
        <w:t>n</w:t>
      </w:r>
      <w:r w:rsidRPr="00FE2949">
        <w:t xml:space="preserve">avios e </w:t>
      </w:r>
      <w:r>
        <w:t>e</w:t>
      </w:r>
      <w:r w:rsidRPr="00FE2949">
        <w:t>mbarcações estrangeiras que exploram o comércio através dos portos do Estado</w:t>
      </w:r>
      <w:r>
        <w:t xml:space="preserve">. </w:t>
      </w:r>
    </w:p>
    <w:p w14:paraId="1A0BE2F8" w14:textId="77777777" w:rsidR="00F40F90" w:rsidRPr="00FA5CAC" w:rsidRDefault="00F40F90" w:rsidP="00F40F90">
      <w:pPr>
        <w:spacing w:line="360" w:lineRule="auto"/>
        <w:ind w:firstLine="708"/>
        <w:jc w:val="both"/>
      </w:pPr>
      <w:r>
        <w:t xml:space="preserve">Salienta, ainda, o autor que a </w:t>
      </w:r>
      <w:r w:rsidRPr="00FE2949">
        <w:t>Lei de Controle e Proteção Ambiental estabelece, portanto, a adoção de determinações específicas para garantir a eficácia das medidas de prevenção existentes, garantindo o efetivo combate da Poluição marinha por Navios e Embarcações</w:t>
      </w:r>
      <w:r>
        <w:t>.</w:t>
      </w:r>
    </w:p>
    <w:p w14:paraId="44CC2CD3" w14:textId="77777777" w:rsidR="00F40F90" w:rsidRDefault="00F40F90" w:rsidP="00F40F90">
      <w:pPr>
        <w:spacing w:line="360" w:lineRule="auto"/>
        <w:jc w:val="both"/>
      </w:pPr>
      <w:r>
        <w:rPr>
          <w:b/>
          <w:bCs/>
        </w:rPr>
        <w:tab/>
      </w:r>
      <w:r>
        <w:t xml:space="preserve">O projeto de lei em análise tem a pretensão de </w:t>
      </w:r>
      <w:r w:rsidRPr="00C857A6">
        <w:rPr>
          <w:bCs/>
        </w:rPr>
        <w:t xml:space="preserve">estabelecer medidas de proteção do meio ambiente marinho e controle de poluição das águas por navios e embarcações em atividade nos portos do </w:t>
      </w:r>
      <w:r>
        <w:rPr>
          <w:bCs/>
        </w:rPr>
        <w:t>E</w:t>
      </w:r>
      <w:r w:rsidRPr="00C857A6">
        <w:rPr>
          <w:bCs/>
        </w:rPr>
        <w:t xml:space="preserve">stado do </w:t>
      </w:r>
      <w:r>
        <w:rPr>
          <w:bCs/>
        </w:rPr>
        <w:t>M</w:t>
      </w:r>
      <w:r w:rsidRPr="00C857A6">
        <w:rPr>
          <w:bCs/>
        </w:rPr>
        <w:t>aranhão</w:t>
      </w:r>
      <w:r>
        <w:t xml:space="preserve">. </w:t>
      </w:r>
    </w:p>
    <w:p w14:paraId="67E085F3" w14:textId="77777777" w:rsidR="00F40F90" w:rsidRDefault="00F40F90" w:rsidP="00F40F90">
      <w:pPr>
        <w:spacing w:line="360" w:lineRule="auto"/>
        <w:ind w:firstLine="708"/>
        <w:jc w:val="both"/>
      </w:pPr>
      <w:r>
        <w:lastRenderedPageBreak/>
        <w:t xml:space="preserve">Em razão da natureza do tema, é necessário aferirmos </w:t>
      </w:r>
      <w:r w:rsidRPr="00C857A6">
        <w:t xml:space="preserve">se o conteúdo </w:t>
      </w:r>
      <w:r>
        <w:t>da proposição</w:t>
      </w:r>
      <w:r w:rsidRPr="00C857A6">
        <w:t xml:space="preserve"> </w:t>
      </w:r>
      <w:r>
        <w:t>está compreendido</w:t>
      </w:r>
      <w:r w:rsidRPr="00C857A6">
        <w:t xml:space="preserve"> na competência privativa da União para legislar sobre direito marítimo (art. 22, I, da Constituição Federal</w:t>
      </w:r>
      <w:r>
        <w:t>-CF de 1988</w:t>
      </w:r>
      <w:r w:rsidRPr="00C857A6">
        <w:t>) ou na competência concorrente para legislar sobre proteção do meio ambiente e controle da poluição (art. 24, VI, da C</w:t>
      </w:r>
      <w:r>
        <w:t>F/88</w:t>
      </w:r>
      <w:r w:rsidRPr="00C857A6">
        <w:t xml:space="preserve">), bem como sobre responsabilidade por </w:t>
      </w:r>
      <w:proofErr w:type="spellStart"/>
      <w:r w:rsidRPr="00C857A6">
        <w:t>dano</w:t>
      </w:r>
      <w:proofErr w:type="spellEnd"/>
      <w:r w:rsidRPr="00C857A6">
        <w:t xml:space="preserve"> ao meio ambiente (art. 24, VIII, da Constituição Federal).</w:t>
      </w:r>
    </w:p>
    <w:p w14:paraId="2B7F9950" w14:textId="77777777" w:rsidR="00F40F90" w:rsidRDefault="00F40F90" w:rsidP="00F40F90">
      <w:pPr>
        <w:spacing w:line="360" w:lineRule="auto"/>
        <w:jc w:val="both"/>
      </w:pPr>
      <w:r>
        <w:tab/>
        <w:t>Partindo para aferição supracitada, colacionamos o art. 3° e o art. 11 da proposição em análise. Vejamos:</w:t>
      </w:r>
    </w:p>
    <w:p w14:paraId="59296A54" w14:textId="77777777" w:rsidR="00F40F90" w:rsidRDefault="00F40F90" w:rsidP="00F40F90">
      <w:pPr>
        <w:ind w:left="2268"/>
        <w:jc w:val="both"/>
        <w:rPr>
          <w:sz w:val="20"/>
          <w:szCs w:val="20"/>
        </w:rPr>
      </w:pPr>
      <w:r w:rsidRPr="00FF54ED">
        <w:rPr>
          <w:sz w:val="20"/>
          <w:szCs w:val="20"/>
        </w:rPr>
        <w:t xml:space="preserve">Art. 3° Os navios e embarcações não poderão realizar qualquer descarga no mar de óleo ou de misturas oleosas. Qualquer óleo ou mistura oleosa deverão ser retidos a bordo para uma descarga posterior para instalações de recebimento. </w:t>
      </w:r>
    </w:p>
    <w:p w14:paraId="24E0F14F" w14:textId="77777777" w:rsidR="00F40F90" w:rsidRDefault="00F40F90" w:rsidP="00F40F90">
      <w:pPr>
        <w:ind w:left="2268"/>
        <w:jc w:val="both"/>
        <w:rPr>
          <w:sz w:val="20"/>
          <w:szCs w:val="20"/>
        </w:rPr>
      </w:pPr>
      <w:r>
        <w:rPr>
          <w:sz w:val="20"/>
          <w:szCs w:val="20"/>
        </w:rPr>
        <w:t>[...]</w:t>
      </w:r>
    </w:p>
    <w:p w14:paraId="6496208A" w14:textId="77777777" w:rsidR="00F40F90" w:rsidRPr="00FF54ED" w:rsidRDefault="00F40F90" w:rsidP="00F40F90">
      <w:pPr>
        <w:ind w:left="2268"/>
        <w:jc w:val="both"/>
        <w:rPr>
          <w:sz w:val="20"/>
          <w:szCs w:val="20"/>
        </w:rPr>
      </w:pPr>
      <w:r w:rsidRPr="00AD43E7">
        <w:rPr>
          <w:sz w:val="20"/>
          <w:szCs w:val="20"/>
        </w:rPr>
        <w:t>Art. 11° Os navios e embarcações que tiverem registrado qualquer incidente de poluição por vazamento ou descarga irregular de óleo, deverão proceder com a recolha do óleo e a limpeza imediata do perímetro contaminado.</w:t>
      </w:r>
    </w:p>
    <w:p w14:paraId="6E6B3ADA" w14:textId="77777777" w:rsidR="00F40F90" w:rsidRDefault="00F40F90" w:rsidP="00F40F90">
      <w:pPr>
        <w:spacing w:line="360" w:lineRule="auto"/>
        <w:ind w:firstLine="708"/>
        <w:jc w:val="both"/>
      </w:pPr>
      <w:r>
        <w:t xml:space="preserve">Ao dispor que as embarcações deverão reter a bordo óleo ou mistura oleosa para uma descarga posterior em instalações de recebimento, o art. 3°, da proposição, não disciplina regra sobre direito marítimo, mas regra de proteção ao meio ambiente. Enquanto o art. 11, ao estabelecer que os navios em que ocorrerem incidentes de poluição por vazamento irregular de óleo deverão realizar a recolha do óleo e a limpeza imediata da área contaminada, veicula regra de responsabilidade por </w:t>
      </w:r>
      <w:proofErr w:type="spellStart"/>
      <w:r>
        <w:t>dano</w:t>
      </w:r>
      <w:proofErr w:type="spellEnd"/>
      <w:r>
        <w:t xml:space="preserve"> ao meio ambiente. </w:t>
      </w:r>
    </w:p>
    <w:p w14:paraId="22BDAC8A" w14:textId="77777777" w:rsidR="00F40F90" w:rsidRDefault="00F40F90" w:rsidP="00F40F90">
      <w:pPr>
        <w:spacing w:line="360" w:lineRule="auto"/>
        <w:ind w:firstLine="708"/>
        <w:jc w:val="both"/>
      </w:pPr>
      <w:r>
        <w:t xml:space="preserve">Destacam-se, pois, nos dispositivos colacionados e em todos os demais do PL, ora em análise, </w:t>
      </w:r>
      <w:r w:rsidRPr="00EE37F2">
        <w:t xml:space="preserve">regras </w:t>
      </w:r>
      <w:r>
        <w:t>atinentes à</w:t>
      </w:r>
      <w:r w:rsidRPr="00EE37F2">
        <w:t xml:space="preserve"> proteção ao meio ambiente e de responsabilidade por </w:t>
      </w:r>
      <w:proofErr w:type="spellStart"/>
      <w:r w:rsidRPr="00EE37F2">
        <w:t>dano</w:t>
      </w:r>
      <w:proofErr w:type="spellEnd"/>
      <w:r w:rsidRPr="00EE37F2">
        <w:t xml:space="preserve"> ao meio ambiente e não propriamente regras de direito marítimo</w:t>
      </w:r>
      <w:r>
        <w:t>. Constatamos</w:t>
      </w:r>
      <w:r w:rsidRPr="00EE37F2">
        <w:t>, dest</w:t>
      </w:r>
      <w:r>
        <w:t>e</w:t>
      </w:r>
      <w:r w:rsidRPr="00EE37F2">
        <w:t xml:space="preserve"> </w:t>
      </w:r>
      <w:r>
        <w:t>modo</w:t>
      </w:r>
      <w:r w:rsidRPr="00EE37F2">
        <w:t xml:space="preserve">, </w:t>
      </w:r>
      <w:r>
        <w:t xml:space="preserve">que </w:t>
      </w:r>
      <w:r w:rsidRPr="00631A5C">
        <w:rPr>
          <w:b/>
          <w:bCs/>
        </w:rPr>
        <w:t>o Projeto de Lei n° 150/2025 não invade a competência privativa da União para legislar sobre direito marítimo estabelecida no art. 22, I, da CF/88</w:t>
      </w:r>
      <w:r w:rsidRPr="00EE37F2">
        <w:t>.</w:t>
      </w:r>
    </w:p>
    <w:p w14:paraId="619100F9" w14:textId="77777777" w:rsidR="00F40F90" w:rsidRDefault="00F40F90" w:rsidP="00F40F90">
      <w:pPr>
        <w:spacing w:line="360" w:lineRule="auto"/>
        <w:ind w:firstLine="708"/>
        <w:jc w:val="both"/>
      </w:pPr>
      <w:r>
        <w:t>Constatada a não ocorrência de inconstitucionalidade formal orgânica por violação da competência privativa da União, é necessário verificar se a proposição atua dentro dos limites d</w:t>
      </w:r>
      <w:r w:rsidRPr="003D435A">
        <w:t xml:space="preserve">a competência legislativa concorrente </w:t>
      </w:r>
      <w:r>
        <w:t xml:space="preserve">conferida </w:t>
      </w:r>
      <w:r w:rsidRPr="003D435A">
        <w:t>aos Estados-Membros</w:t>
      </w:r>
      <w:r>
        <w:t xml:space="preserve"> para tratarem sobre proteção do meio ambiente e controle da poluição </w:t>
      </w:r>
      <w:r w:rsidRPr="00C857A6">
        <w:t>(art. 24, VI, da C</w:t>
      </w:r>
      <w:r>
        <w:t>F/88</w:t>
      </w:r>
      <w:r w:rsidRPr="00C857A6">
        <w:t xml:space="preserve">), bem como </w:t>
      </w:r>
      <w:r w:rsidRPr="00C857A6">
        <w:lastRenderedPageBreak/>
        <w:t xml:space="preserve">sobre responsabilidade por </w:t>
      </w:r>
      <w:proofErr w:type="spellStart"/>
      <w:r w:rsidRPr="00C857A6">
        <w:t>dano</w:t>
      </w:r>
      <w:proofErr w:type="spellEnd"/>
      <w:r w:rsidRPr="00C857A6">
        <w:t xml:space="preserve"> ao meio ambiente (art. 24, VIII, da Constituição Federal).</w:t>
      </w:r>
      <w:r>
        <w:t xml:space="preserve"> Quanto à competência concorrente a Carta Magna, determina:</w:t>
      </w:r>
    </w:p>
    <w:p w14:paraId="12DF3E4E" w14:textId="77777777" w:rsidR="00F40F90" w:rsidRPr="00557816" w:rsidRDefault="00F40F90" w:rsidP="00F40F90">
      <w:pPr>
        <w:ind w:left="2268"/>
        <w:jc w:val="both"/>
        <w:rPr>
          <w:sz w:val="20"/>
          <w:szCs w:val="20"/>
        </w:rPr>
      </w:pPr>
      <w:r w:rsidRPr="00557816">
        <w:rPr>
          <w:b/>
          <w:bCs/>
          <w:sz w:val="20"/>
          <w:szCs w:val="20"/>
        </w:rPr>
        <w:t>Art. 24.</w:t>
      </w:r>
      <w:r w:rsidRPr="00557816">
        <w:rPr>
          <w:sz w:val="20"/>
          <w:szCs w:val="20"/>
        </w:rPr>
        <w:t xml:space="preserve"> Compete à União, aos Estados e ao Distrito Federal legislar concorrentemente sobre:</w:t>
      </w:r>
    </w:p>
    <w:p w14:paraId="1965F4C1" w14:textId="77777777" w:rsidR="00F40F90" w:rsidRPr="00557816" w:rsidRDefault="00F40F90" w:rsidP="00F40F90">
      <w:pPr>
        <w:ind w:left="2268"/>
        <w:jc w:val="both"/>
        <w:rPr>
          <w:sz w:val="20"/>
          <w:szCs w:val="20"/>
        </w:rPr>
      </w:pPr>
      <w:r w:rsidRPr="00557816">
        <w:rPr>
          <w:sz w:val="20"/>
          <w:szCs w:val="20"/>
        </w:rPr>
        <w:t>[...]</w:t>
      </w:r>
    </w:p>
    <w:p w14:paraId="776B4F5A" w14:textId="77777777" w:rsidR="00F40F90" w:rsidRPr="00557816" w:rsidRDefault="00F40F90" w:rsidP="00F40F90">
      <w:pPr>
        <w:ind w:left="2268"/>
        <w:jc w:val="both"/>
        <w:rPr>
          <w:sz w:val="20"/>
          <w:szCs w:val="20"/>
        </w:rPr>
      </w:pPr>
      <w:r w:rsidRPr="00557816">
        <w:rPr>
          <w:b/>
          <w:bCs/>
          <w:sz w:val="20"/>
          <w:szCs w:val="20"/>
        </w:rPr>
        <w:t>§ 1º</w:t>
      </w:r>
      <w:r w:rsidRPr="00557816">
        <w:rPr>
          <w:sz w:val="20"/>
          <w:szCs w:val="20"/>
        </w:rPr>
        <w:t xml:space="preserve"> </w:t>
      </w:r>
      <w:r w:rsidRPr="00557816">
        <w:rPr>
          <w:b/>
          <w:bCs/>
          <w:sz w:val="20"/>
          <w:szCs w:val="20"/>
        </w:rPr>
        <w:t>No âmbito da legislação concorrente, a competência da União limitar-se-á a estabelecer normas gerais</w:t>
      </w:r>
      <w:r w:rsidRPr="00557816">
        <w:rPr>
          <w:sz w:val="20"/>
          <w:szCs w:val="20"/>
        </w:rPr>
        <w:t xml:space="preserve">.          </w:t>
      </w:r>
    </w:p>
    <w:p w14:paraId="6AD01539" w14:textId="77777777" w:rsidR="00F40F90" w:rsidRPr="00557816" w:rsidRDefault="00F40F90" w:rsidP="00F40F90">
      <w:pPr>
        <w:ind w:left="2268"/>
        <w:jc w:val="both"/>
        <w:rPr>
          <w:b/>
          <w:bCs/>
          <w:sz w:val="20"/>
          <w:szCs w:val="20"/>
        </w:rPr>
      </w:pPr>
      <w:bookmarkStart w:id="0" w:name="cfart24§2"/>
      <w:bookmarkEnd w:id="0"/>
      <w:r w:rsidRPr="00557816">
        <w:rPr>
          <w:b/>
          <w:bCs/>
          <w:sz w:val="20"/>
          <w:szCs w:val="20"/>
        </w:rPr>
        <w:t xml:space="preserve">§ 2º A competência da União para legislar sobre normas gerais não exclui a competência suplementar dos Estados.          </w:t>
      </w:r>
    </w:p>
    <w:p w14:paraId="4BCB0A57" w14:textId="77777777" w:rsidR="00F40F90" w:rsidRPr="00557816" w:rsidRDefault="00F40F90" w:rsidP="00F40F90">
      <w:pPr>
        <w:ind w:left="2268"/>
        <w:jc w:val="both"/>
        <w:rPr>
          <w:sz w:val="20"/>
          <w:szCs w:val="20"/>
        </w:rPr>
      </w:pPr>
      <w:bookmarkStart w:id="1" w:name="cfart24§3"/>
      <w:bookmarkEnd w:id="1"/>
      <w:r w:rsidRPr="00557816">
        <w:rPr>
          <w:sz w:val="20"/>
          <w:szCs w:val="20"/>
        </w:rPr>
        <w:t xml:space="preserve">§ 3º Inexistindo lei federal sobre normas gerais, os Estados exercerão a competência legislativa plena, para atender a suas peculiaridades.          </w:t>
      </w:r>
    </w:p>
    <w:p w14:paraId="47589554" w14:textId="77777777" w:rsidR="00F40F90" w:rsidRPr="00557816" w:rsidRDefault="00F40F90" w:rsidP="00F40F90">
      <w:pPr>
        <w:ind w:left="2268"/>
        <w:jc w:val="both"/>
        <w:rPr>
          <w:sz w:val="20"/>
          <w:szCs w:val="20"/>
        </w:rPr>
      </w:pPr>
      <w:bookmarkStart w:id="2" w:name="cfart24§4"/>
      <w:bookmarkEnd w:id="2"/>
      <w:r w:rsidRPr="00557816">
        <w:rPr>
          <w:sz w:val="20"/>
          <w:szCs w:val="20"/>
        </w:rPr>
        <w:t xml:space="preserve">§ 4º A superveniência de lei federal sobre normas gerais suspende a eficácia da lei estadual, no que lhe for contrário.          </w:t>
      </w:r>
    </w:p>
    <w:p w14:paraId="2C659CAC" w14:textId="77777777" w:rsidR="00F40F90" w:rsidRDefault="00F40F90" w:rsidP="00F40F90">
      <w:pPr>
        <w:spacing w:line="360" w:lineRule="auto"/>
        <w:jc w:val="both"/>
      </w:pPr>
      <w:r>
        <w:tab/>
        <w:t xml:space="preserve">Nesse contexto, a União editou a </w:t>
      </w:r>
      <w:r w:rsidRPr="00557816">
        <w:rPr>
          <w:b/>
          <w:bCs/>
        </w:rPr>
        <w:t>Lei 9.966/2000</w:t>
      </w:r>
      <w:r w:rsidRPr="00557816">
        <w:t xml:space="preserve">, a qual estabeleceu normas gerais sobre </w:t>
      </w:r>
      <w:r w:rsidRPr="00557816">
        <w:rPr>
          <w:i/>
          <w:iCs/>
        </w:rPr>
        <w:t>a prevenção, o controle e a fiscalização da poluição causada por lançamento de óleo e outras substâncias nocivas ou perigosas em águas sob jurisdição nacional</w:t>
      </w:r>
      <w:r w:rsidRPr="00557816">
        <w:t>.</w:t>
      </w:r>
    </w:p>
    <w:p w14:paraId="51382E34" w14:textId="77777777" w:rsidR="00F40F90" w:rsidRDefault="00F40F90" w:rsidP="00F40F90">
      <w:pPr>
        <w:spacing w:line="360" w:lineRule="auto"/>
        <w:jc w:val="both"/>
      </w:pPr>
      <w:r>
        <w:tab/>
        <w:t xml:space="preserve">Verificamos que, sobre o descarte de resíduos no mar, o PL n° 150/2025, em seu art. 4°, é mais restritivo que a referida norma geral </w:t>
      </w:r>
      <w:r w:rsidRPr="00C223CE">
        <w:t xml:space="preserve">ao </w:t>
      </w:r>
      <w:r>
        <w:t>determinar que “</w:t>
      </w:r>
      <w:r w:rsidRPr="00631A5C">
        <w:rPr>
          <w:i/>
          <w:iCs/>
          <w:u w:val="single"/>
        </w:rPr>
        <w:t>nenhuma descarga</w:t>
      </w:r>
      <w:r w:rsidRPr="007922E3">
        <w:rPr>
          <w:i/>
          <w:iCs/>
        </w:rPr>
        <w:t xml:space="preserve"> no mar deverá conter produtos químicos ou outras substâncias em quantidades ou concentrações que sejam perigosas para o meio ambiente marinho, ou produtos químicos ou outras substâncias introduzidas com a finalidade de ocultar as condições da descarga</w:t>
      </w:r>
      <w:r>
        <w:t>”;</w:t>
      </w:r>
      <w:r w:rsidRPr="00C223CE">
        <w:t xml:space="preserve"> </w:t>
      </w:r>
      <w:r>
        <w:t>enquanto que</w:t>
      </w:r>
      <w:r w:rsidRPr="00C223CE">
        <w:t xml:space="preserve"> a lei federal admite, </w:t>
      </w:r>
      <w:r>
        <w:t>excepcionalmente</w:t>
      </w:r>
      <w:r w:rsidRPr="00C223CE">
        <w:t>, em</w:t>
      </w:r>
      <w:r>
        <w:t xml:space="preserve"> </w:t>
      </w:r>
      <w:r w:rsidRPr="00C223CE">
        <w:t>condições</w:t>
      </w:r>
      <w:r>
        <w:t xml:space="preserve"> explicitadas</w:t>
      </w:r>
      <w:r w:rsidRPr="00C223CE">
        <w:t xml:space="preserve">, o descarte de </w:t>
      </w:r>
      <w:r>
        <w:t xml:space="preserve"> certas </w:t>
      </w:r>
      <w:r w:rsidRPr="00C223CE">
        <w:t>substâncias em águas sob jurisdição nacional</w:t>
      </w:r>
      <w:r>
        <w:t xml:space="preserve"> (</w:t>
      </w:r>
      <w:r w:rsidRPr="00C223CE">
        <w:t xml:space="preserve">os </w:t>
      </w:r>
      <w:proofErr w:type="spellStart"/>
      <w:r w:rsidRPr="00C223CE">
        <w:t>arts</w:t>
      </w:r>
      <w:proofErr w:type="spellEnd"/>
      <w:r w:rsidRPr="00C223CE">
        <w:t>. 15, § 1º, art. 16, e art. 17, da legislação federal</w:t>
      </w:r>
      <w:r>
        <w:t xml:space="preserve">). </w:t>
      </w:r>
    </w:p>
    <w:p w14:paraId="735151CF" w14:textId="77777777" w:rsidR="00F40F90" w:rsidRDefault="00F40F90" w:rsidP="00F40F90">
      <w:pPr>
        <w:spacing w:line="360" w:lineRule="auto"/>
        <w:jc w:val="both"/>
      </w:pPr>
      <w:r>
        <w:tab/>
      </w:r>
      <w:r w:rsidRPr="00631A5C">
        <w:rPr>
          <w:b/>
          <w:bCs/>
        </w:rPr>
        <w:t>Ainda que mais restritiva, entendemos que a proposição em análise atua dentro dos limites da competência concorrente</w:t>
      </w:r>
      <w:r>
        <w:t xml:space="preserve">. Porque, conforme consolidada jurisprudência do Supremo Tribunal Federal (STF), em se tratando de proteção ao meio ambiente, são constitucionais </w:t>
      </w:r>
      <w:r w:rsidRPr="00B73F03">
        <w:t>a</w:t>
      </w:r>
      <w:r>
        <w:t>s</w:t>
      </w:r>
      <w:r w:rsidRPr="00B73F03">
        <w:t xml:space="preserve"> le</w:t>
      </w:r>
      <w:r>
        <w:t>is</w:t>
      </w:r>
      <w:r w:rsidRPr="00B73F03">
        <w:t xml:space="preserve"> dos demais entes federativos </w:t>
      </w:r>
      <w:r>
        <w:t xml:space="preserve">ainda que </w:t>
      </w:r>
      <w:r w:rsidRPr="00B73F03">
        <w:t>mais restritiva</w:t>
      </w:r>
      <w:r>
        <w:t>s</w:t>
      </w:r>
      <w:r w:rsidRPr="00B73F03">
        <w:t xml:space="preserve"> que a legislação da União veiculadora de normas gerais</w:t>
      </w:r>
      <w:r>
        <w:t xml:space="preserve">.  Nesse sentido, a </w:t>
      </w:r>
      <w:r w:rsidRPr="000319B0">
        <w:rPr>
          <w:b/>
          <w:bCs/>
        </w:rPr>
        <w:t>ADI 3937-MC</w:t>
      </w:r>
      <w:r>
        <w:t xml:space="preserve"> </w:t>
      </w:r>
      <w:r w:rsidRPr="002F7413">
        <w:t xml:space="preserve">que </w:t>
      </w:r>
      <w:r>
        <w:t>declarou constitucional a</w:t>
      </w:r>
      <w:r w:rsidRPr="002F7413">
        <w:t xml:space="preserve"> lei estadual paulista que proibiu a produção e circulação do amianto, confrontada com legislação federal que admite o emprego dessa substância; e o </w:t>
      </w:r>
      <w:r w:rsidRPr="000319B0">
        <w:rPr>
          <w:b/>
          <w:bCs/>
        </w:rPr>
        <w:t>RE 194.704</w:t>
      </w:r>
      <w:r w:rsidRPr="002F7413">
        <w:t xml:space="preserve"> </w:t>
      </w:r>
      <w:r>
        <w:lastRenderedPageBreak/>
        <w:t xml:space="preserve">que </w:t>
      </w:r>
      <w:r w:rsidRPr="002F7413">
        <w:t>valid</w:t>
      </w:r>
      <w:r>
        <w:t>ou</w:t>
      </w:r>
      <w:r w:rsidRPr="002F7413">
        <w:t xml:space="preserve"> lei do Município de Belo Horizonte/MG que estabelecera padrões mais restritos de emissão de gases poluentes. </w:t>
      </w:r>
      <w:r>
        <w:t xml:space="preserve"> </w:t>
      </w:r>
    </w:p>
    <w:p w14:paraId="11BC7900" w14:textId="77777777" w:rsidR="00F40F90" w:rsidRDefault="00F40F90" w:rsidP="00F40F90">
      <w:pPr>
        <w:spacing w:line="360" w:lineRule="auto"/>
        <w:jc w:val="both"/>
      </w:pPr>
      <w:r>
        <w:tab/>
        <w:t xml:space="preserve">Assim sendo, </w:t>
      </w:r>
      <w:r w:rsidRPr="00631A5C">
        <w:t>o projeto de lei n°150/2025 atua dentro dos limites da competência concorrente</w:t>
      </w:r>
      <w:r>
        <w:t xml:space="preserve">. Corrobora esse entendimento a decisão do STF no bojo da Ação Direta de Inconstitucionalidade n°2030, de relatoria do ministro Gilmar Mendes, que declarou constitucional norma do Estado de Santa Catarina com conteúdo similar ao da proposição que ora apreciamos. Vejamos: </w:t>
      </w:r>
    </w:p>
    <w:p w14:paraId="067A9FCA" w14:textId="77777777" w:rsidR="00F40F90" w:rsidRDefault="00F40F90" w:rsidP="00F40F90">
      <w:pPr>
        <w:ind w:left="2268"/>
        <w:contextualSpacing/>
        <w:jc w:val="both"/>
        <w:rPr>
          <w:sz w:val="20"/>
          <w:szCs w:val="20"/>
        </w:rPr>
      </w:pPr>
      <w:r w:rsidRPr="004A0C4B">
        <w:rPr>
          <w:sz w:val="20"/>
          <w:szCs w:val="20"/>
        </w:rPr>
        <w:t xml:space="preserve">Ementa: </w:t>
      </w:r>
      <w:r w:rsidRPr="004A0C4B">
        <w:rPr>
          <w:b/>
          <w:bCs/>
          <w:sz w:val="20"/>
          <w:szCs w:val="20"/>
        </w:rPr>
        <w:t>Ação Direta de Inconstitucionalidade</w:t>
      </w:r>
      <w:r w:rsidRPr="004A0C4B">
        <w:rPr>
          <w:sz w:val="20"/>
          <w:szCs w:val="20"/>
        </w:rPr>
        <w:t xml:space="preserve">. Repartição de competências. </w:t>
      </w:r>
      <w:r w:rsidRPr="004A0C4B">
        <w:rPr>
          <w:b/>
          <w:bCs/>
          <w:sz w:val="20"/>
          <w:szCs w:val="20"/>
        </w:rPr>
        <w:t>Lei Estadual</w:t>
      </w:r>
      <w:r w:rsidRPr="004A0C4B">
        <w:rPr>
          <w:sz w:val="20"/>
          <w:szCs w:val="20"/>
        </w:rPr>
        <w:t xml:space="preserve"> 11.078/1999, de Santa Catarina, </w:t>
      </w:r>
      <w:r w:rsidRPr="004A0C4B">
        <w:rPr>
          <w:b/>
          <w:bCs/>
          <w:sz w:val="20"/>
          <w:szCs w:val="20"/>
        </w:rPr>
        <w:t>que estabelece normas sobre controle de resíduos de embarcações, oleodutos e instalações costeiras</w:t>
      </w:r>
      <w:r w:rsidRPr="004A0C4B">
        <w:rPr>
          <w:sz w:val="20"/>
          <w:szCs w:val="20"/>
        </w:rPr>
        <w:t xml:space="preserve">. Alegação de ofensa aos artigos 22, I, da Constituição Federal. Não ocorrência. </w:t>
      </w:r>
      <w:r w:rsidRPr="00E177C1">
        <w:rPr>
          <w:b/>
          <w:bCs/>
          <w:sz w:val="20"/>
          <w:szCs w:val="20"/>
          <w:u w:val="single"/>
        </w:rPr>
        <w:t>Legislação estadual que trata de direito ambiental marítimo, e não de direito marítimo ambiental.</w:t>
      </w:r>
      <w:r w:rsidRPr="00E177C1">
        <w:rPr>
          <w:sz w:val="20"/>
          <w:szCs w:val="20"/>
          <w:u w:val="single"/>
        </w:rPr>
        <w:t xml:space="preserve"> </w:t>
      </w:r>
      <w:r w:rsidRPr="004A0C4B">
        <w:rPr>
          <w:b/>
          <w:bCs/>
          <w:sz w:val="20"/>
          <w:szCs w:val="20"/>
        </w:rPr>
        <w:t xml:space="preserve">Competência legislativa concorrente para legislar sobre proteção do meio ambiente e controle da poluição (art. 22, I, CF), e sobre responsabilidade por </w:t>
      </w:r>
      <w:proofErr w:type="spellStart"/>
      <w:r w:rsidRPr="004A0C4B">
        <w:rPr>
          <w:b/>
          <w:bCs/>
          <w:sz w:val="20"/>
          <w:szCs w:val="20"/>
        </w:rPr>
        <w:t>dano</w:t>
      </w:r>
      <w:proofErr w:type="spellEnd"/>
      <w:r w:rsidRPr="004A0C4B">
        <w:rPr>
          <w:b/>
          <w:bCs/>
          <w:sz w:val="20"/>
          <w:szCs w:val="20"/>
        </w:rPr>
        <w:t xml:space="preserve"> ao meio ambiente (art. 24, VIII, CF)</w:t>
      </w:r>
      <w:r w:rsidRPr="004A0C4B">
        <w:rPr>
          <w:sz w:val="20"/>
          <w:szCs w:val="20"/>
        </w:rPr>
        <w:t>. Superveniência de lei geral sobre o tema. Suspensão da eficácia do diploma legislativo estadual no que contrariar a legislação geral. Ação julgada improcedente.</w:t>
      </w:r>
      <w:r>
        <w:rPr>
          <w:sz w:val="20"/>
          <w:szCs w:val="20"/>
        </w:rPr>
        <w:t xml:space="preserve"> (grifos nossos)</w:t>
      </w:r>
      <w:r w:rsidRPr="004A0C4B">
        <w:rPr>
          <w:sz w:val="20"/>
          <w:szCs w:val="20"/>
        </w:rPr>
        <w:br/>
      </w:r>
      <w:r w:rsidRPr="004A0C4B">
        <w:rPr>
          <w:sz w:val="20"/>
          <w:szCs w:val="20"/>
        </w:rPr>
        <w:br/>
        <w:t>(</w:t>
      </w:r>
      <w:r w:rsidRPr="004A0C4B">
        <w:rPr>
          <w:b/>
          <w:bCs/>
          <w:sz w:val="20"/>
          <w:szCs w:val="20"/>
        </w:rPr>
        <w:t>ADI 2030</w:t>
      </w:r>
      <w:r w:rsidRPr="004A0C4B">
        <w:rPr>
          <w:sz w:val="20"/>
          <w:szCs w:val="20"/>
        </w:rPr>
        <w:t>, Relator(a): GILMAR MENDES, Tribunal Pleno, julgado em 09-08-2017, ACÓRDÃO ELETRÔNICO DJe-221 DIVULG 16-10-2018 PUBLIC 17-10-2018)</w:t>
      </w:r>
    </w:p>
    <w:p w14:paraId="2950B0FF" w14:textId="77777777" w:rsidR="00F40F90" w:rsidRDefault="00F40F90" w:rsidP="00F40F90">
      <w:pPr>
        <w:ind w:left="2268"/>
        <w:contextualSpacing/>
        <w:jc w:val="both"/>
        <w:rPr>
          <w:sz w:val="20"/>
          <w:szCs w:val="20"/>
        </w:rPr>
      </w:pPr>
    </w:p>
    <w:p w14:paraId="17A2EB59" w14:textId="77777777" w:rsidR="00F40F90" w:rsidRDefault="00F40F90" w:rsidP="00F40F90">
      <w:pPr>
        <w:spacing w:line="360" w:lineRule="auto"/>
        <w:contextualSpacing/>
        <w:jc w:val="both"/>
      </w:pPr>
      <w:r>
        <w:rPr>
          <w:sz w:val="20"/>
          <w:szCs w:val="20"/>
        </w:rPr>
        <w:tab/>
      </w:r>
      <w:r w:rsidRPr="00F6193A">
        <w:t xml:space="preserve">Contudo, </w:t>
      </w:r>
      <w:r>
        <w:t xml:space="preserve">verificamos que </w:t>
      </w:r>
      <w:r w:rsidRPr="00704360">
        <w:rPr>
          <w:b/>
          <w:bCs/>
        </w:rPr>
        <w:t>o art. 2°, do PL</w:t>
      </w:r>
      <w:r>
        <w:t xml:space="preserve">, </w:t>
      </w:r>
      <w:r w:rsidRPr="00704360">
        <w:rPr>
          <w:b/>
          <w:bCs/>
        </w:rPr>
        <w:t>padece de inconstitucionalidade</w:t>
      </w:r>
      <w:r>
        <w:t xml:space="preserve">, porque ao buscar delimitar o âmbito de aplicação da proposição </w:t>
      </w:r>
      <w:r w:rsidRPr="00704360">
        <w:rPr>
          <w:b/>
          <w:bCs/>
        </w:rPr>
        <w:t>não se restringe ao território marítimo do Estado do Maranhão e, assim, afronta a competência do Congresso Nacional para “legislar sobre bens de domínio da União” (CF, art. 20, VI, e 48, V)</w:t>
      </w:r>
      <w:r>
        <w:t>. Isso porque, o art. 2°, da proposição, tem a seguinte redação:</w:t>
      </w:r>
    </w:p>
    <w:p w14:paraId="602B7E76" w14:textId="77777777" w:rsidR="00F40F90" w:rsidRDefault="00F40F90" w:rsidP="00F40F90">
      <w:pPr>
        <w:ind w:left="2268"/>
        <w:contextualSpacing/>
        <w:jc w:val="both"/>
        <w:rPr>
          <w:sz w:val="20"/>
          <w:szCs w:val="20"/>
        </w:rPr>
      </w:pPr>
      <w:r w:rsidRPr="00FF783D">
        <w:rPr>
          <w:sz w:val="20"/>
          <w:szCs w:val="20"/>
        </w:rPr>
        <w:t xml:space="preserve">Art. 2° </w:t>
      </w:r>
      <w:r w:rsidRPr="00FF783D">
        <w:rPr>
          <w:b/>
          <w:bCs/>
          <w:sz w:val="20"/>
          <w:szCs w:val="20"/>
        </w:rPr>
        <w:t>Esta lei é aplicável a todas as embarcações</w:t>
      </w:r>
      <w:r w:rsidRPr="00FF783D">
        <w:rPr>
          <w:sz w:val="20"/>
          <w:szCs w:val="20"/>
        </w:rPr>
        <w:t xml:space="preserve"> estrangeiras e às embarcações nacionais com mais de 500 AB (Gross </w:t>
      </w:r>
      <w:proofErr w:type="spellStart"/>
      <w:r w:rsidRPr="00FF783D">
        <w:rPr>
          <w:sz w:val="20"/>
          <w:szCs w:val="20"/>
        </w:rPr>
        <w:t>Tonnage</w:t>
      </w:r>
      <w:proofErr w:type="spellEnd"/>
      <w:r w:rsidRPr="00FF783D">
        <w:rPr>
          <w:sz w:val="20"/>
          <w:szCs w:val="20"/>
        </w:rPr>
        <w:t xml:space="preserve"> ou Arqueação Bruta) que naveguem, </w:t>
      </w:r>
      <w:r w:rsidRPr="00FF783D">
        <w:rPr>
          <w:b/>
          <w:bCs/>
          <w:sz w:val="20"/>
          <w:szCs w:val="20"/>
        </w:rPr>
        <w:t xml:space="preserve">atraquem ou operem em </w:t>
      </w:r>
      <w:r w:rsidRPr="00FF783D">
        <w:rPr>
          <w:b/>
          <w:bCs/>
          <w:sz w:val="20"/>
          <w:szCs w:val="20"/>
          <w:u w:val="single"/>
        </w:rPr>
        <w:t>águas jurisdicionais brasileiras</w:t>
      </w:r>
      <w:r w:rsidRPr="00FF783D">
        <w:rPr>
          <w:sz w:val="20"/>
          <w:szCs w:val="20"/>
        </w:rPr>
        <w:t>, como medida de controle de acidentes ambientais por derramamento de óleo no mar.</w:t>
      </w:r>
    </w:p>
    <w:p w14:paraId="7F9F597E" w14:textId="77777777" w:rsidR="00F40F90" w:rsidRPr="00FF783D" w:rsidRDefault="00F40F90" w:rsidP="00F40F90">
      <w:pPr>
        <w:ind w:left="2268"/>
        <w:contextualSpacing/>
        <w:jc w:val="both"/>
        <w:rPr>
          <w:sz w:val="20"/>
          <w:szCs w:val="20"/>
        </w:rPr>
      </w:pPr>
    </w:p>
    <w:p w14:paraId="1F3934CE" w14:textId="77777777" w:rsidR="00F40F90" w:rsidRPr="00F6193A" w:rsidRDefault="00F40F90" w:rsidP="00F40F90">
      <w:pPr>
        <w:spacing w:line="360" w:lineRule="auto"/>
        <w:ind w:firstLine="708"/>
        <w:contextualSpacing/>
        <w:jc w:val="both"/>
      </w:pPr>
      <w:r>
        <w:t xml:space="preserve">Sendo assim, </w:t>
      </w:r>
      <w:r w:rsidRPr="00EF20BE">
        <w:rPr>
          <w:b/>
          <w:bCs/>
          <w:u w:val="single"/>
        </w:rPr>
        <w:t>sugerimos emenda modificativa ao supracitado dispositivo</w:t>
      </w:r>
      <w:r w:rsidRPr="00704360">
        <w:rPr>
          <w:b/>
          <w:bCs/>
        </w:rPr>
        <w:t xml:space="preserve"> para que onde consta a expressão “águas jurisdicionais brasileiras”, passe a constar: território marítimo do Estado do Maranhão</w:t>
      </w:r>
      <w:r>
        <w:rPr>
          <w:b/>
          <w:bCs/>
        </w:rPr>
        <w:t xml:space="preserve"> </w:t>
      </w:r>
      <w:r w:rsidRPr="00EF20BE">
        <w:t>ou</w:t>
      </w:r>
      <w:r>
        <w:t xml:space="preserve"> outra expressão semelhante apta a tornar restrito ao território estadual o âmbito de aplicação do PL e, assim, indicar a não incidência </w:t>
      </w:r>
      <w:r>
        <w:lastRenderedPageBreak/>
        <w:t>das determinações da proposição em área que é de competência da União (art. 20, VI e art. 21, XII, “f”, da CF/88). Sobre o tema, vide ADI</w:t>
      </w:r>
      <w:r w:rsidRPr="004A5A0C">
        <w:t xml:space="preserve"> </w:t>
      </w:r>
      <w:proofErr w:type="gramStart"/>
      <w:r w:rsidRPr="004A5A0C">
        <w:t>6218</w:t>
      </w:r>
      <w:r>
        <w:t xml:space="preserve"> </w:t>
      </w:r>
      <w:r w:rsidRPr="004A5A0C">
        <w:t xml:space="preserve"> </w:t>
      </w:r>
      <w:r>
        <w:t>(</w:t>
      </w:r>
      <w:proofErr w:type="gramEnd"/>
      <w:r w:rsidRPr="004A5A0C">
        <w:t xml:space="preserve">Relator(a): </w:t>
      </w:r>
      <w:r>
        <w:t>N</w:t>
      </w:r>
      <w:r w:rsidRPr="004A5A0C">
        <w:t xml:space="preserve">unes </w:t>
      </w:r>
      <w:r>
        <w:t>M</w:t>
      </w:r>
      <w:r w:rsidRPr="004A5A0C">
        <w:t>arques, Relator(a) p/ Acórdão: R</w:t>
      </w:r>
      <w:r>
        <w:t>osa</w:t>
      </w:r>
      <w:r w:rsidRPr="004A5A0C">
        <w:t xml:space="preserve"> W</w:t>
      </w:r>
      <w:r>
        <w:t>eber</w:t>
      </w:r>
      <w:r w:rsidRPr="004A5A0C">
        <w:t>, Tribunal Pleno, julgado em 03-07-2023, P</w:t>
      </w:r>
      <w:r>
        <w:t>rocesso</w:t>
      </w:r>
      <w:r w:rsidRPr="004A5A0C">
        <w:t xml:space="preserve"> E</w:t>
      </w:r>
      <w:r>
        <w:t>letrônico</w:t>
      </w:r>
      <w:r w:rsidRPr="004A5A0C">
        <w:t xml:space="preserve"> </w:t>
      </w:r>
      <w:proofErr w:type="spellStart"/>
      <w:r w:rsidRPr="004A5A0C">
        <w:t>DJe</w:t>
      </w:r>
      <w:proofErr w:type="spellEnd"/>
      <w:r w:rsidRPr="004A5A0C">
        <w:t xml:space="preserve">-s/n </w:t>
      </w:r>
      <w:proofErr w:type="spellStart"/>
      <w:r w:rsidRPr="004A5A0C">
        <w:t>D</w:t>
      </w:r>
      <w:r>
        <w:t>ivulg</w:t>
      </w:r>
      <w:proofErr w:type="spellEnd"/>
      <w:r w:rsidRPr="004A5A0C">
        <w:t xml:space="preserve"> 18-08-2023 </w:t>
      </w:r>
      <w:proofErr w:type="spellStart"/>
      <w:r w:rsidRPr="004A5A0C">
        <w:t>P</w:t>
      </w:r>
      <w:r>
        <w:t>ublic</w:t>
      </w:r>
      <w:proofErr w:type="spellEnd"/>
      <w:r w:rsidRPr="004A5A0C">
        <w:t xml:space="preserve"> 21-08-2023</w:t>
      </w:r>
      <w:r>
        <w:t xml:space="preserve">). </w:t>
      </w:r>
    </w:p>
    <w:p w14:paraId="70AB8A64" w14:textId="77777777" w:rsidR="00F40F90" w:rsidRDefault="00F40F90" w:rsidP="00F40F90">
      <w:pPr>
        <w:autoSpaceDE w:val="0"/>
        <w:autoSpaceDN w:val="0"/>
        <w:adjustRightInd w:val="0"/>
        <w:spacing w:line="360" w:lineRule="auto"/>
        <w:ind w:firstLine="708"/>
        <w:jc w:val="both"/>
      </w:pPr>
      <w:r>
        <w:t xml:space="preserve">No que tange à </w:t>
      </w:r>
      <w:r w:rsidRPr="007B1165">
        <w:rPr>
          <w:u w:val="single"/>
        </w:rPr>
        <w:t>inconstitucionalidade formal propriamente dita</w:t>
      </w:r>
      <w:r>
        <w:t>, que provém do desrespeito ao devido processo legislativo. É necessário verificar se há algum vício no procedimento de elaboração da norma, tanto na fase da propositura (vício formal subjetivo), quanto nas demais etapas (vício formal objetivo).</w:t>
      </w:r>
    </w:p>
    <w:p w14:paraId="7FE90A12" w14:textId="77777777" w:rsidR="00F40F90" w:rsidRPr="001B3F62" w:rsidRDefault="00F40F90" w:rsidP="00F40F90">
      <w:pPr>
        <w:pStyle w:val="Default"/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1B3F62">
        <w:rPr>
          <w:rFonts w:ascii="Times New Roman" w:hAnsi="Times New Roman" w:cs="Times New Roman"/>
        </w:rPr>
        <w:t xml:space="preserve">No que tange à </w:t>
      </w:r>
      <w:r w:rsidRPr="007B1165">
        <w:rPr>
          <w:rFonts w:ascii="Times New Roman" w:hAnsi="Times New Roman" w:cs="Times New Roman"/>
          <w:u w:val="single"/>
        </w:rPr>
        <w:t>inconstitucionalidade formal subjetiva</w:t>
      </w:r>
      <w:r w:rsidRPr="001B3F62">
        <w:rPr>
          <w:rFonts w:ascii="Times New Roman" w:hAnsi="Times New Roman" w:cs="Times New Roman"/>
        </w:rPr>
        <w:t xml:space="preserve">, a Carta Magna e a Constituição Estadual, respectivamente, em seus </w:t>
      </w:r>
      <w:proofErr w:type="spellStart"/>
      <w:r w:rsidRPr="001B3F62">
        <w:rPr>
          <w:rFonts w:ascii="Times New Roman" w:hAnsi="Times New Roman" w:cs="Times New Roman"/>
        </w:rPr>
        <w:t>arts</w:t>
      </w:r>
      <w:proofErr w:type="spellEnd"/>
      <w:r w:rsidRPr="001B3F62">
        <w:rPr>
          <w:rFonts w:ascii="Times New Roman" w:hAnsi="Times New Roman" w:cs="Times New Roman"/>
        </w:rPr>
        <w:t xml:space="preserve">. 2º e </w:t>
      </w:r>
      <w:r>
        <w:rPr>
          <w:rFonts w:ascii="Times New Roman" w:hAnsi="Times New Roman" w:cs="Times New Roman"/>
        </w:rPr>
        <w:t>6°</w:t>
      </w:r>
      <w:r w:rsidRPr="001B3F62">
        <w:rPr>
          <w:rFonts w:ascii="Times New Roman" w:hAnsi="Times New Roman" w:cs="Times New Roman"/>
        </w:rPr>
        <w:t xml:space="preserve">, asseveram a independência dos Poderes Legislativo, Executivo e Judiciário. De forma que, nenhum dos Poderes pode intervir no funcionamento do outro sem que tenha sido autorizado por regra constitucional, sob pena de violação do Princípio da Separação dos Poderes. </w:t>
      </w:r>
    </w:p>
    <w:p w14:paraId="2A345C89" w14:textId="77777777" w:rsidR="00F40F90" w:rsidRPr="001B3F62" w:rsidRDefault="00F40F90" w:rsidP="00F40F90">
      <w:pPr>
        <w:pStyle w:val="Default"/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1B3F62">
        <w:rPr>
          <w:rFonts w:ascii="Times New Roman" w:hAnsi="Times New Roman" w:cs="Times New Roman"/>
        </w:rPr>
        <w:t xml:space="preserve">Orientada por tal princípio, a CF/88, </w:t>
      </w:r>
      <w:r>
        <w:rPr>
          <w:rFonts w:ascii="Times New Roman" w:hAnsi="Times New Roman" w:cs="Times New Roman"/>
        </w:rPr>
        <w:t>com relação a determinados assuntos</w:t>
      </w:r>
      <w:r w:rsidRPr="001B3F62">
        <w:rPr>
          <w:rFonts w:ascii="Times New Roman" w:hAnsi="Times New Roman" w:cs="Times New Roman"/>
        </w:rPr>
        <w:t xml:space="preserve">, reserva a iniciativa do processo legislativo a apenas algumas autoridades ou órgãos </w:t>
      </w:r>
      <w:r>
        <w:rPr>
          <w:rFonts w:ascii="Times New Roman" w:hAnsi="Times New Roman" w:cs="Times New Roman"/>
        </w:rPr>
        <w:t>para</w:t>
      </w:r>
      <w:r w:rsidRPr="001B3F62">
        <w:rPr>
          <w:rFonts w:ascii="Times New Roman" w:hAnsi="Times New Roman" w:cs="Times New Roman"/>
        </w:rPr>
        <w:t xml:space="preserve"> subordinar a eles </w:t>
      </w:r>
      <w:r>
        <w:rPr>
          <w:rFonts w:ascii="Times New Roman" w:hAnsi="Times New Roman" w:cs="Times New Roman"/>
        </w:rPr>
        <w:t>o juízo acerca da</w:t>
      </w:r>
      <w:r w:rsidRPr="001B3F62">
        <w:rPr>
          <w:rFonts w:ascii="Times New Roman" w:hAnsi="Times New Roman" w:cs="Times New Roman"/>
        </w:rPr>
        <w:t xml:space="preserve"> conveniência e </w:t>
      </w:r>
      <w:r>
        <w:rPr>
          <w:rFonts w:ascii="Times New Roman" w:hAnsi="Times New Roman" w:cs="Times New Roman"/>
        </w:rPr>
        <w:t>d</w:t>
      </w:r>
      <w:r w:rsidRPr="001B3F62">
        <w:rPr>
          <w:rFonts w:ascii="Times New Roman" w:hAnsi="Times New Roman" w:cs="Times New Roman"/>
        </w:rPr>
        <w:t xml:space="preserve">a oportunidade </w:t>
      </w:r>
      <w:r>
        <w:rPr>
          <w:rFonts w:ascii="Times New Roman" w:hAnsi="Times New Roman" w:cs="Times New Roman"/>
        </w:rPr>
        <w:t>para</w:t>
      </w:r>
      <w:r w:rsidRPr="001B3F62">
        <w:rPr>
          <w:rFonts w:ascii="Times New Roman" w:hAnsi="Times New Roman" w:cs="Times New Roman"/>
        </w:rPr>
        <w:t xml:space="preserve"> deflagração do debate legislativo em torno d</w:t>
      </w:r>
      <w:r>
        <w:rPr>
          <w:rFonts w:ascii="Times New Roman" w:hAnsi="Times New Roman" w:cs="Times New Roman"/>
        </w:rPr>
        <w:t>a matéria reservada</w:t>
      </w:r>
      <w:r w:rsidRPr="001B3F62">
        <w:rPr>
          <w:rFonts w:ascii="Times New Roman" w:hAnsi="Times New Roman" w:cs="Times New Roman"/>
        </w:rPr>
        <w:t xml:space="preserve">. </w:t>
      </w:r>
    </w:p>
    <w:p w14:paraId="35CEC152" w14:textId="77777777" w:rsidR="00F40F90" w:rsidRDefault="00F40F90" w:rsidP="00F40F90">
      <w:pPr>
        <w:autoSpaceDE w:val="0"/>
        <w:autoSpaceDN w:val="0"/>
        <w:adjustRightInd w:val="0"/>
        <w:spacing w:line="360" w:lineRule="auto"/>
        <w:ind w:firstLine="708"/>
        <w:jc w:val="both"/>
      </w:pPr>
      <w:r w:rsidRPr="00A4316B">
        <w:t xml:space="preserve">Nessa quadra, a CF/88 e a CE/89 estabelecem, respectivamente, em seu art. 61 e art. 43, os temas sobre os quais as proposições legislativas devem ser de iniciativa privativa do Chefe do Executivo. </w:t>
      </w:r>
      <w:r>
        <w:t>O disposto no texto constitucional estadual diz o seguinte:</w:t>
      </w:r>
    </w:p>
    <w:p w14:paraId="57DB408D" w14:textId="77777777" w:rsidR="00F40F90" w:rsidRPr="00F9396C" w:rsidRDefault="00F40F90" w:rsidP="00F40F90">
      <w:pPr>
        <w:autoSpaceDE w:val="0"/>
        <w:autoSpaceDN w:val="0"/>
        <w:adjustRightInd w:val="0"/>
        <w:ind w:left="2268"/>
        <w:jc w:val="both"/>
        <w:rPr>
          <w:sz w:val="20"/>
          <w:szCs w:val="20"/>
        </w:rPr>
      </w:pPr>
      <w:r w:rsidRPr="00F9396C">
        <w:rPr>
          <w:b/>
          <w:sz w:val="20"/>
          <w:szCs w:val="20"/>
        </w:rPr>
        <w:t>Art. 43</w:t>
      </w:r>
      <w:r w:rsidRPr="00F9396C">
        <w:rPr>
          <w:sz w:val="20"/>
          <w:szCs w:val="20"/>
        </w:rPr>
        <w:t xml:space="preserve"> – </w:t>
      </w:r>
      <w:r w:rsidRPr="00F9396C">
        <w:rPr>
          <w:b/>
          <w:sz w:val="20"/>
          <w:szCs w:val="20"/>
        </w:rPr>
        <w:t>São de iniciativa privativa do Governador do Estado as leis que disponham sobre</w:t>
      </w:r>
      <w:r w:rsidRPr="00F9396C">
        <w:rPr>
          <w:sz w:val="20"/>
          <w:szCs w:val="20"/>
        </w:rPr>
        <w:t xml:space="preserve">: </w:t>
      </w:r>
    </w:p>
    <w:p w14:paraId="1148524B" w14:textId="77777777" w:rsidR="00F40F90" w:rsidRPr="00F9396C" w:rsidRDefault="00F40F90" w:rsidP="00F40F90">
      <w:pPr>
        <w:autoSpaceDE w:val="0"/>
        <w:autoSpaceDN w:val="0"/>
        <w:adjustRightInd w:val="0"/>
        <w:ind w:left="2268"/>
        <w:jc w:val="both"/>
        <w:rPr>
          <w:sz w:val="20"/>
          <w:szCs w:val="20"/>
        </w:rPr>
      </w:pPr>
      <w:r w:rsidRPr="00F9396C">
        <w:rPr>
          <w:b/>
          <w:sz w:val="20"/>
          <w:szCs w:val="20"/>
        </w:rPr>
        <w:t>I</w:t>
      </w:r>
      <w:r w:rsidRPr="00F9396C">
        <w:rPr>
          <w:sz w:val="20"/>
          <w:szCs w:val="20"/>
        </w:rPr>
        <w:t xml:space="preserve"> – fixação e alteração dos efetivos da </w:t>
      </w:r>
      <w:proofErr w:type="gramStart"/>
      <w:r w:rsidRPr="00F9396C">
        <w:rPr>
          <w:sz w:val="20"/>
          <w:szCs w:val="20"/>
        </w:rPr>
        <w:t>Policia</w:t>
      </w:r>
      <w:proofErr w:type="gramEnd"/>
      <w:r w:rsidRPr="00F9396C">
        <w:rPr>
          <w:sz w:val="20"/>
          <w:szCs w:val="20"/>
        </w:rPr>
        <w:t xml:space="preserve"> Militar e do Corpo de Bombeiros Militar; </w:t>
      </w:r>
    </w:p>
    <w:p w14:paraId="1E89BE65" w14:textId="77777777" w:rsidR="00F40F90" w:rsidRPr="00F9396C" w:rsidRDefault="00F40F90" w:rsidP="00F40F90">
      <w:pPr>
        <w:autoSpaceDE w:val="0"/>
        <w:autoSpaceDN w:val="0"/>
        <w:adjustRightInd w:val="0"/>
        <w:ind w:left="2268"/>
        <w:jc w:val="both"/>
        <w:rPr>
          <w:sz w:val="20"/>
          <w:szCs w:val="20"/>
        </w:rPr>
      </w:pPr>
      <w:r w:rsidRPr="00F9396C">
        <w:rPr>
          <w:b/>
          <w:sz w:val="20"/>
          <w:szCs w:val="20"/>
        </w:rPr>
        <w:t>II</w:t>
      </w:r>
      <w:r w:rsidRPr="00F9396C">
        <w:rPr>
          <w:sz w:val="20"/>
          <w:szCs w:val="20"/>
        </w:rPr>
        <w:t xml:space="preserve"> – </w:t>
      </w:r>
      <w:proofErr w:type="gramStart"/>
      <w:r w:rsidRPr="00F9396C">
        <w:rPr>
          <w:sz w:val="20"/>
          <w:szCs w:val="20"/>
        </w:rPr>
        <w:t>criação</w:t>
      </w:r>
      <w:proofErr w:type="gramEnd"/>
      <w:r w:rsidRPr="00F9396C">
        <w:rPr>
          <w:sz w:val="20"/>
          <w:szCs w:val="20"/>
        </w:rPr>
        <w:t xml:space="preserve"> de cargos, funções ou empregos públicos na administração direta e autárquica ou aumento de sua remuneração; </w:t>
      </w:r>
    </w:p>
    <w:p w14:paraId="2559F68B" w14:textId="77777777" w:rsidR="00F40F90" w:rsidRPr="00F9396C" w:rsidRDefault="00F40F90" w:rsidP="00F40F90">
      <w:pPr>
        <w:autoSpaceDE w:val="0"/>
        <w:autoSpaceDN w:val="0"/>
        <w:adjustRightInd w:val="0"/>
        <w:ind w:left="2268"/>
        <w:jc w:val="both"/>
        <w:rPr>
          <w:sz w:val="20"/>
          <w:szCs w:val="20"/>
        </w:rPr>
      </w:pPr>
      <w:r w:rsidRPr="00F9396C">
        <w:rPr>
          <w:b/>
          <w:sz w:val="20"/>
          <w:szCs w:val="20"/>
        </w:rPr>
        <w:t xml:space="preserve">III </w:t>
      </w:r>
      <w:r w:rsidRPr="00F9396C">
        <w:rPr>
          <w:sz w:val="20"/>
          <w:szCs w:val="20"/>
        </w:rPr>
        <w:t xml:space="preserve">– organização administrativa e matéria orçamentária. </w:t>
      </w:r>
    </w:p>
    <w:p w14:paraId="075401C6" w14:textId="77777777" w:rsidR="00F40F90" w:rsidRPr="00F9396C" w:rsidRDefault="00F40F90" w:rsidP="00F40F90">
      <w:pPr>
        <w:autoSpaceDE w:val="0"/>
        <w:autoSpaceDN w:val="0"/>
        <w:adjustRightInd w:val="0"/>
        <w:ind w:left="2268"/>
        <w:jc w:val="both"/>
        <w:rPr>
          <w:sz w:val="20"/>
          <w:szCs w:val="20"/>
        </w:rPr>
      </w:pPr>
      <w:r w:rsidRPr="00F9396C">
        <w:rPr>
          <w:b/>
          <w:sz w:val="20"/>
          <w:szCs w:val="20"/>
        </w:rPr>
        <w:t xml:space="preserve">IV </w:t>
      </w:r>
      <w:r w:rsidRPr="00F9396C">
        <w:rPr>
          <w:sz w:val="20"/>
          <w:szCs w:val="20"/>
        </w:rPr>
        <w:t xml:space="preserve">- </w:t>
      </w:r>
      <w:proofErr w:type="gramStart"/>
      <w:r w:rsidRPr="00F9396C">
        <w:rPr>
          <w:sz w:val="20"/>
          <w:szCs w:val="20"/>
        </w:rPr>
        <w:t>servidores</w:t>
      </w:r>
      <w:proofErr w:type="gramEnd"/>
      <w:r w:rsidRPr="00F9396C">
        <w:rPr>
          <w:sz w:val="20"/>
          <w:szCs w:val="20"/>
        </w:rPr>
        <w:t xml:space="preserve"> públicos do Estado, seu regime jurídico, provimento de cargos, estabilidade e aposentadoria de civis, reforma e transferência de militares para a inatividade; </w:t>
      </w:r>
    </w:p>
    <w:p w14:paraId="3CD4C326" w14:textId="77777777" w:rsidR="00F40F90" w:rsidRDefault="00F40F90" w:rsidP="00F40F90">
      <w:pPr>
        <w:autoSpaceDE w:val="0"/>
        <w:autoSpaceDN w:val="0"/>
        <w:adjustRightInd w:val="0"/>
        <w:ind w:left="2268"/>
        <w:jc w:val="both"/>
        <w:rPr>
          <w:sz w:val="20"/>
          <w:szCs w:val="20"/>
        </w:rPr>
      </w:pPr>
      <w:r w:rsidRPr="00F9396C">
        <w:rPr>
          <w:b/>
          <w:sz w:val="20"/>
          <w:szCs w:val="20"/>
        </w:rPr>
        <w:t>V</w:t>
      </w:r>
      <w:r w:rsidRPr="00F9396C">
        <w:rPr>
          <w:sz w:val="20"/>
          <w:szCs w:val="20"/>
        </w:rPr>
        <w:t xml:space="preserve"> – criação, </w:t>
      </w:r>
      <w:proofErr w:type="gramStart"/>
      <w:r w:rsidRPr="00F9396C">
        <w:rPr>
          <w:sz w:val="20"/>
          <w:szCs w:val="20"/>
        </w:rPr>
        <w:t xml:space="preserve">estruturação </w:t>
      </w:r>
      <w:r>
        <w:rPr>
          <w:sz w:val="20"/>
          <w:szCs w:val="20"/>
        </w:rPr>
        <w:t xml:space="preserve"> e</w:t>
      </w:r>
      <w:proofErr w:type="gramEnd"/>
      <w:r>
        <w:rPr>
          <w:sz w:val="20"/>
          <w:szCs w:val="20"/>
        </w:rPr>
        <w:t xml:space="preserve"> </w:t>
      </w:r>
      <w:r w:rsidRPr="00BD6DAB">
        <w:rPr>
          <w:b/>
          <w:bCs/>
          <w:sz w:val="20"/>
          <w:szCs w:val="20"/>
        </w:rPr>
        <w:t>atribuições das Secretárias de Estado</w:t>
      </w:r>
      <w:r w:rsidRPr="00F9396C">
        <w:rPr>
          <w:sz w:val="20"/>
          <w:szCs w:val="20"/>
        </w:rPr>
        <w:t xml:space="preserve"> ou órgãos equivalentes e outros órgãos da administração pública estadual. </w:t>
      </w:r>
      <w:r>
        <w:rPr>
          <w:sz w:val="20"/>
          <w:szCs w:val="20"/>
        </w:rPr>
        <w:t>(grifos nossos)</w:t>
      </w:r>
    </w:p>
    <w:p w14:paraId="494F67D0" w14:textId="77777777" w:rsidR="00F40F90" w:rsidRPr="00F9396C" w:rsidRDefault="00F40F90" w:rsidP="00F40F90">
      <w:pPr>
        <w:autoSpaceDE w:val="0"/>
        <w:autoSpaceDN w:val="0"/>
        <w:adjustRightInd w:val="0"/>
        <w:ind w:left="2268"/>
        <w:jc w:val="both"/>
        <w:rPr>
          <w:sz w:val="20"/>
          <w:szCs w:val="20"/>
        </w:rPr>
      </w:pPr>
    </w:p>
    <w:p w14:paraId="064E7CB2" w14:textId="77777777" w:rsidR="00F40F90" w:rsidRDefault="00F40F90" w:rsidP="00F40F90">
      <w:pPr>
        <w:spacing w:line="360" w:lineRule="auto"/>
        <w:contextualSpacing/>
        <w:jc w:val="both"/>
      </w:pPr>
      <w:r>
        <w:lastRenderedPageBreak/>
        <w:tab/>
      </w:r>
      <w:r w:rsidRPr="00D12AFB">
        <w:t xml:space="preserve">Da leitura do supramencionado artigo, </w:t>
      </w:r>
      <w:r w:rsidRPr="00617427">
        <w:rPr>
          <w:b/>
        </w:rPr>
        <w:t xml:space="preserve">verifica-se que a matéria tratada no PL n° </w:t>
      </w:r>
      <w:r>
        <w:rPr>
          <w:b/>
        </w:rPr>
        <w:t>150</w:t>
      </w:r>
      <w:r w:rsidRPr="00617427">
        <w:rPr>
          <w:b/>
        </w:rPr>
        <w:t>/202</w:t>
      </w:r>
      <w:r>
        <w:rPr>
          <w:b/>
        </w:rPr>
        <w:t xml:space="preserve">5, </w:t>
      </w:r>
      <w:r w:rsidRPr="00EF57DE">
        <w:rPr>
          <w:b/>
          <w:u w:val="single"/>
        </w:rPr>
        <w:t>com exceção do parágrafo 2°, do art. 7°</w:t>
      </w:r>
      <w:r>
        <w:rPr>
          <w:b/>
        </w:rPr>
        <w:t xml:space="preserve">, </w:t>
      </w:r>
      <w:r w:rsidRPr="00617427">
        <w:rPr>
          <w:b/>
        </w:rPr>
        <w:t>não está inserida entre as de competência privativa do Governador do Estado</w:t>
      </w:r>
      <w:r w:rsidRPr="00D12AFB">
        <w:t>.</w:t>
      </w:r>
      <w:r>
        <w:t xml:space="preserve"> Isto porque, o referido dispositivo ao determinar: “</w:t>
      </w:r>
      <w:r>
        <w:rPr>
          <w:i/>
          <w:iCs/>
        </w:rPr>
        <w:t>a</w:t>
      </w:r>
      <w:r w:rsidRPr="003D5D95">
        <w:rPr>
          <w:i/>
          <w:iCs/>
        </w:rPr>
        <w:t xml:space="preserve"> Secretaria de Estado do Meio Ambiente deverá regulamentar o credenciamento das empresas mencionadas no caput deste artigo</w:t>
      </w:r>
      <w:r>
        <w:t xml:space="preserve">” estabelece atribuição para uma Secretaria de Estado e, assim, viola o art. 43, V, da CE/89. </w:t>
      </w:r>
    </w:p>
    <w:p w14:paraId="0C125BE2" w14:textId="77777777" w:rsidR="00F40F90" w:rsidRPr="00E37B7B" w:rsidRDefault="00F40F90" w:rsidP="00F40F90">
      <w:pPr>
        <w:spacing w:line="360" w:lineRule="auto"/>
        <w:contextualSpacing/>
        <w:jc w:val="both"/>
        <w:rPr>
          <w:u w:val="single"/>
        </w:rPr>
      </w:pPr>
      <w:r>
        <w:tab/>
        <w:t>Com isso</w:t>
      </w:r>
      <w:r w:rsidRPr="00E177C1">
        <w:t>, verifica</w:t>
      </w:r>
      <w:r>
        <w:t>mos</w:t>
      </w:r>
      <w:r w:rsidRPr="00E177C1">
        <w:t xml:space="preserve"> que </w:t>
      </w:r>
      <w:r>
        <w:t>o</w:t>
      </w:r>
      <w:r w:rsidRPr="00E177C1">
        <w:t xml:space="preserve"> </w:t>
      </w:r>
      <w:r w:rsidRPr="00EF57DE">
        <w:rPr>
          <w:b/>
          <w:u w:val="single"/>
        </w:rPr>
        <w:t>parágrafo 2°, do art. 7°</w:t>
      </w:r>
      <w:r>
        <w:t>, do PL, veicula determinação</w:t>
      </w:r>
      <w:r w:rsidRPr="00E177C1">
        <w:t xml:space="preserve"> reservada à iniciativa privativa do </w:t>
      </w:r>
      <w:r>
        <w:t xml:space="preserve">Chefe do </w:t>
      </w:r>
      <w:r w:rsidRPr="00E177C1">
        <w:t>Poder Executivo</w:t>
      </w:r>
      <w:r>
        <w:t xml:space="preserve">, pelo que </w:t>
      </w:r>
      <w:r w:rsidRPr="00E37B7B">
        <w:rPr>
          <w:b/>
          <w:bCs/>
          <w:u w:val="single"/>
        </w:rPr>
        <w:t>opinamos pela supressão deste dispositivo</w:t>
      </w:r>
      <w:r w:rsidRPr="00E37B7B">
        <w:rPr>
          <w:u w:val="single"/>
        </w:rPr>
        <w:t xml:space="preserve">. </w:t>
      </w:r>
    </w:p>
    <w:p w14:paraId="375BAED1" w14:textId="77777777" w:rsidR="00F40F90" w:rsidRDefault="00F40F90" w:rsidP="00F40F90">
      <w:pPr>
        <w:spacing w:line="360" w:lineRule="auto"/>
        <w:contextualSpacing/>
        <w:jc w:val="both"/>
      </w:pPr>
      <w:r>
        <w:tab/>
        <w:t xml:space="preserve">Quanto a constitucionalidade material, o projeto está em consonância com as determinações constitucionais, com a norma geral sobre o tema e, garante o </w:t>
      </w:r>
      <w:r w:rsidRPr="004A5A0C">
        <w:t>Direito fundamental ao meio ambiente ecologicamente equilibrado (CF, art. 225)</w:t>
      </w:r>
      <w:r>
        <w:t>.</w:t>
      </w:r>
    </w:p>
    <w:p w14:paraId="534E46DD" w14:textId="77777777" w:rsidR="00F40F90" w:rsidRDefault="00F40F90" w:rsidP="00F40F90">
      <w:pPr>
        <w:spacing w:line="360" w:lineRule="auto"/>
        <w:contextualSpacing/>
        <w:jc w:val="both"/>
      </w:pPr>
      <w:r>
        <w:tab/>
        <w:t xml:space="preserve">Portanto, observadas as ressalvas e as sugestões realizadas quanto ao art. 2° e ao parágrafo 2°, do art. 7°, o Projeto de Lei n°150/2025 é formalmente e materialmente constitucional. </w:t>
      </w:r>
    </w:p>
    <w:p w14:paraId="6FBF59ED" w14:textId="77777777" w:rsidR="003F0D90" w:rsidRDefault="003F0D90" w:rsidP="00365B29">
      <w:pPr>
        <w:pStyle w:val="Ementa"/>
        <w:spacing w:before="0" w:after="0" w:line="360" w:lineRule="auto"/>
        <w:ind w:left="0" w:firstLine="709"/>
        <w:rPr>
          <w:rFonts w:ascii="Times New Roman" w:hAnsi="Times New Roman"/>
          <w:i w:val="0"/>
          <w:szCs w:val="24"/>
        </w:rPr>
      </w:pPr>
    </w:p>
    <w:p w14:paraId="157C7C27" w14:textId="77777777" w:rsidR="00657843" w:rsidRPr="00657843" w:rsidRDefault="00657843" w:rsidP="00657843">
      <w:pPr>
        <w:spacing w:line="360" w:lineRule="auto"/>
        <w:jc w:val="both"/>
        <w:rPr>
          <w:sz w:val="22"/>
          <w:szCs w:val="22"/>
        </w:rPr>
      </w:pPr>
      <w:r w:rsidRPr="00657843">
        <w:rPr>
          <w:b/>
          <w:sz w:val="22"/>
          <w:szCs w:val="22"/>
          <w:u w:val="single"/>
        </w:rPr>
        <w:t>VOTO DO RELATOR:</w:t>
      </w:r>
    </w:p>
    <w:p w14:paraId="6989B8DD" w14:textId="68197D10" w:rsidR="00F40F90" w:rsidRPr="00A863DF" w:rsidRDefault="00A863DF" w:rsidP="00F40F90">
      <w:pPr>
        <w:spacing w:line="360" w:lineRule="auto"/>
        <w:ind w:right="18" w:firstLine="709"/>
        <w:jc w:val="both"/>
        <w:rPr>
          <w:b/>
          <w:bCs/>
        </w:rPr>
      </w:pPr>
      <w:r>
        <w:t>A</w:t>
      </w:r>
      <w:r w:rsidR="00FE21C5" w:rsidRPr="00FE21C5">
        <w:t>nte o exposto, e pelas razões ora apresentadas,</w:t>
      </w:r>
      <w:r w:rsidR="00F40F90" w:rsidRPr="00F40F90">
        <w:rPr>
          <w:rFonts w:eastAsiaTheme="minorHAnsi"/>
          <w:kern w:val="2"/>
          <w:lang w:eastAsia="en-US"/>
          <w14:ligatures w14:val="standardContextual"/>
        </w:rPr>
        <w:t xml:space="preserve"> </w:t>
      </w:r>
      <w:r w:rsidR="00F40F90" w:rsidRPr="00F40F90">
        <w:t xml:space="preserve">e pela fundamentação retromencionada, </w:t>
      </w:r>
      <w:r w:rsidR="00F40F90" w:rsidRPr="00F40F90">
        <w:rPr>
          <w:b/>
          <w:bCs/>
        </w:rPr>
        <w:t xml:space="preserve">somos pela aprovação do Projeto de Lei n° 150/2025, </w:t>
      </w:r>
      <w:r>
        <w:rPr>
          <w:b/>
          <w:bCs/>
        </w:rPr>
        <w:t xml:space="preserve">com as modificações acima propostas, </w:t>
      </w:r>
      <w:proofErr w:type="gramStart"/>
      <w:r>
        <w:rPr>
          <w:b/>
          <w:bCs/>
        </w:rPr>
        <w:t>ou seja</w:t>
      </w:r>
      <w:proofErr w:type="gramEnd"/>
      <w:r>
        <w:rPr>
          <w:b/>
          <w:bCs/>
        </w:rPr>
        <w:t xml:space="preserve"> alteração do </w:t>
      </w:r>
      <w:r w:rsidRPr="00A863DF">
        <w:rPr>
          <w:b/>
          <w:bCs/>
        </w:rPr>
        <w:t xml:space="preserve">art. 2° e a </w:t>
      </w:r>
      <w:proofErr w:type="spellStart"/>
      <w:r w:rsidRPr="00A863DF">
        <w:rPr>
          <w:b/>
          <w:bCs/>
        </w:rPr>
        <w:t>supreção</w:t>
      </w:r>
      <w:proofErr w:type="spellEnd"/>
      <w:r w:rsidRPr="00A863DF">
        <w:rPr>
          <w:b/>
          <w:bCs/>
        </w:rPr>
        <w:t xml:space="preserve"> do parágrafo 2°, do art. 7° da propositura de lei.</w:t>
      </w:r>
    </w:p>
    <w:p w14:paraId="63B3B264" w14:textId="7C610AF2" w:rsidR="00FE21C5" w:rsidRPr="00FE21C5" w:rsidRDefault="00FE21C5" w:rsidP="00FE21C5">
      <w:pPr>
        <w:spacing w:line="360" w:lineRule="auto"/>
        <w:ind w:right="18" w:firstLine="709"/>
        <w:jc w:val="both"/>
      </w:pPr>
    </w:p>
    <w:p w14:paraId="7FCF9871" w14:textId="77777777" w:rsidR="00657843" w:rsidRPr="00657843" w:rsidRDefault="00FE21C5" w:rsidP="00FE21C5">
      <w:pPr>
        <w:spacing w:line="360" w:lineRule="auto"/>
        <w:ind w:right="1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</w:t>
      </w:r>
      <w:r w:rsidR="00657843" w:rsidRPr="00657843">
        <w:rPr>
          <w:sz w:val="22"/>
          <w:szCs w:val="22"/>
        </w:rPr>
        <w:t>É o voto.</w:t>
      </w:r>
    </w:p>
    <w:p w14:paraId="5A181964" w14:textId="77777777" w:rsidR="0075034E" w:rsidRDefault="0075034E" w:rsidP="00657843">
      <w:pPr>
        <w:spacing w:line="360" w:lineRule="auto"/>
        <w:jc w:val="both"/>
        <w:rPr>
          <w:rFonts w:eastAsia="Calibri"/>
          <w:b/>
          <w:sz w:val="22"/>
          <w:szCs w:val="22"/>
          <w:u w:val="single"/>
        </w:rPr>
      </w:pPr>
    </w:p>
    <w:p w14:paraId="2D4EF978" w14:textId="77777777" w:rsidR="00365B29" w:rsidRDefault="00365B29" w:rsidP="00657843">
      <w:pPr>
        <w:spacing w:line="360" w:lineRule="auto"/>
        <w:jc w:val="both"/>
        <w:rPr>
          <w:rFonts w:eastAsia="Calibri"/>
          <w:b/>
          <w:sz w:val="22"/>
          <w:szCs w:val="22"/>
          <w:u w:val="single"/>
        </w:rPr>
      </w:pPr>
    </w:p>
    <w:p w14:paraId="0DF2869D" w14:textId="77777777" w:rsidR="00F40F90" w:rsidRDefault="00F40F90" w:rsidP="00657843">
      <w:pPr>
        <w:spacing w:line="360" w:lineRule="auto"/>
        <w:jc w:val="both"/>
        <w:rPr>
          <w:rFonts w:eastAsia="Calibri"/>
          <w:b/>
          <w:sz w:val="22"/>
          <w:szCs w:val="22"/>
          <w:u w:val="single"/>
        </w:rPr>
      </w:pPr>
    </w:p>
    <w:p w14:paraId="2F66A5C6" w14:textId="77777777" w:rsidR="00365B29" w:rsidRDefault="00365B29" w:rsidP="00657843">
      <w:pPr>
        <w:spacing w:line="360" w:lineRule="auto"/>
        <w:jc w:val="both"/>
        <w:rPr>
          <w:rFonts w:eastAsia="Calibri"/>
          <w:b/>
          <w:sz w:val="22"/>
          <w:szCs w:val="22"/>
          <w:u w:val="single"/>
        </w:rPr>
      </w:pPr>
    </w:p>
    <w:p w14:paraId="644D2F07" w14:textId="77777777" w:rsidR="00365B29" w:rsidRDefault="00365B29" w:rsidP="00657843">
      <w:pPr>
        <w:spacing w:line="360" w:lineRule="auto"/>
        <w:jc w:val="both"/>
        <w:rPr>
          <w:rFonts w:eastAsia="Calibri"/>
          <w:b/>
          <w:sz w:val="22"/>
          <w:szCs w:val="22"/>
          <w:u w:val="single"/>
        </w:rPr>
      </w:pPr>
    </w:p>
    <w:p w14:paraId="51617F2E" w14:textId="77777777" w:rsidR="00365B29" w:rsidRDefault="00365B29" w:rsidP="00657843">
      <w:pPr>
        <w:spacing w:line="360" w:lineRule="auto"/>
        <w:jc w:val="both"/>
        <w:rPr>
          <w:rFonts w:eastAsia="Calibri"/>
          <w:b/>
          <w:sz w:val="22"/>
          <w:szCs w:val="22"/>
          <w:u w:val="single"/>
        </w:rPr>
      </w:pPr>
    </w:p>
    <w:p w14:paraId="6992F25C" w14:textId="77777777" w:rsidR="009F6408" w:rsidRDefault="009F6408" w:rsidP="009F6408">
      <w:pPr>
        <w:spacing w:line="360" w:lineRule="auto"/>
        <w:jc w:val="both"/>
        <w:rPr>
          <w:rFonts w:eastAsia="Calibri"/>
          <w:b/>
          <w:u w:val="single"/>
        </w:rPr>
      </w:pPr>
      <w:r>
        <w:rPr>
          <w:rFonts w:eastAsia="Calibri"/>
          <w:b/>
          <w:u w:val="single"/>
        </w:rPr>
        <w:t>PARECER DA COMISSÃO:</w:t>
      </w:r>
    </w:p>
    <w:p w14:paraId="456895E1" w14:textId="06368DCB" w:rsidR="009F6408" w:rsidRDefault="009F6408" w:rsidP="009F6408">
      <w:pPr>
        <w:spacing w:line="360" w:lineRule="auto"/>
        <w:ind w:firstLine="851"/>
        <w:jc w:val="both"/>
        <w:rPr>
          <w:rFonts w:eastAsia="Batang"/>
        </w:rPr>
      </w:pPr>
      <w:r>
        <w:rPr>
          <w:rFonts w:eastAsia="Calibri"/>
        </w:rPr>
        <w:t xml:space="preserve">Os membros da Comissão de Constituição, Justiça e Cidadania </w:t>
      </w:r>
      <w:r>
        <w:rPr>
          <w:rFonts w:eastAsia="Batang"/>
          <w:bCs/>
          <w:kern w:val="32"/>
        </w:rPr>
        <w:t xml:space="preserve">votam </w:t>
      </w:r>
      <w:r w:rsidR="00F40F90" w:rsidRPr="00F40F90">
        <w:rPr>
          <w:rFonts w:eastAsia="Batang"/>
          <w:b/>
          <w:bCs/>
          <w:kern w:val="32"/>
        </w:rPr>
        <w:t>pela aprovação do Projeto de Lei n° 150/2025, desde que modificado o seu art. 2° e suprimido o §2°, do art. 7</w:t>
      </w:r>
      <w:proofErr w:type="gramStart"/>
      <w:r w:rsidR="00F40F90" w:rsidRPr="00F40F90">
        <w:rPr>
          <w:rFonts w:eastAsia="Batang"/>
          <w:b/>
          <w:bCs/>
          <w:kern w:val="32"/>
        </w:rPr>
        <w:t>°</w:t>
      </w:r>
      <w:r w:rsidR="00F40F90">
        <w:rPr>
          <w:rFonts w:eastAsia="Calibri"/>
        </w:rPr>
        <w:t>,</w:t>
      </w:r>
      <w:r w:rsidR="00F40F90" w:rsidRPr="00F40F90">
        <w:rPr>
          <w:rFonts w:eastAsia="Batang"/>
          <w:b/>
          <w:bCs/>
          <w:kern w:val="32"/>
        </w:rPr>
        <w:t>nos</w:t>
      </w:r>
      <w:proofErr w:type="gramEnd"/>
      <w:r w:rsidR="00F40F90" w:rsidRPr="00F40F90">
        <w:rPr>
          <w:rFonts w:eastAsia="Batang"/>
          <w:b/>
          <w:bCs/>
          <w:kern w:val="32"/>
        </w:rPr>
        <w:t xml:space="preserve"> termos do voto do Relator.</w:t>
      </w:r>
    </w:p>
    <w:p w14:paraId="584AA623" w14:textId="77777777" w:rsidR="009F6408" w:rsidRDefault="009F6408" w:rsidP="009F6408">
      <w:pPr>
        <w:spacing w:after="120"/>
        <w:ind w:firstLine="851"/>
        <w:rPr>
          <w:rFonts w:eastAsiaTheme="minorHAnsi"/>
        </w:rPr>
      </w:pPr>
      <w:r>
        <w:t>É o parecer.</w:t>
      </w:r>
    </w:p>
    <w:p w14:paraId="42D47EE8" w14:textId="02BB1297" w:rsidR="00657843" w:rsidRPr="00657843" w:rsidRDefault="00657843" w:rsidP="00657843">
      <w:pPr>
        <w:spacing w:line="360" w:lineRule="auto"/>
        <w:ind w:firstLine="426"/>
        <w:jc w:val="both"/>
        <w:rPr>
          <w:rFonts w:eastAsia="Calibri"/>
          <w:sz w:val="22"/>
          <w:szCs w:val="22"/>
        </w:rPr>
      </w:pPr>
      <w:r w:rsidRPr="00657843">
        <w:rPr>
          <w:sz w:val="22"/>
          <w:szCs w:val="22"/>
        </w:rPr>
        <w:t xml:space="preserve">       </w:t>
      </w:r>
      <w:r w:rsidRPr="00657843">
        <w:rPr>
          <w:rFonts w:eastAsia="Calibri"/>
          <w:sz w:val="22"/>
          <w:szCs w:val="22"/>
        </w:rPr>
        <w:t xml:space="preserve">SALA DAS COMISSÕES “DEPUTADO LÉO FRANKLIM”, em </w:t>
      </w:r>
      <w:r w:rsidR="0056508C">
        <w:rPr>
          <w:rFonts w:eastAsia="Calibri"/>
          <w:sz w:val="22"/>
          <w:szCs w:val="22"/>
        </w:rPr>
        <w:t>0</w:t>
      </w:r>
      <w:r w:rsidR="003F0D90">
        <w:rPr>
          <w:rFonts w:eastAsia="Calibri"/>
          <w:sz w:val="22"/>
          <w:szCs w:val="22"/>
        </w:rPr>
        <w:t>8</w:t>
      </w:r>
      <w:r w:rsidRPr="00657843">
        <w:rPr>
          <w:rFonts w:eastAsia="Calibri"/>
          <w:sz w:val="22"/>
          <w:szCs w:val="22"/>
        </w:rPr>
        <w:t xml:space="preserve"> de </w:t>
      </w:r>
      <w:r w:rsidR="005D58DA">
        <w:rPr>
          <w:rFonts w:eastAsia="Calibri"/>
          <w:sz w:val="22"/>
          <w:szCs w:val="22"/>
        </w:rPr>
        <w:t>abril</w:t>
      </w:r>
      <w:r w:rsidRPr="00657843">
        <w:rPr>
          <w:rFonts w:eastAsia="Calibri"/>
          <w:sz w:val="22"/>
          <w:szCs w:val="22"/>
        </w:rPr>
        <w:t xml:space="preserve"> de 202</w:t>
      </w:r>
      <w:r w:rsidR="00365B29">
        <w:rPr>
          <w:rFonts w:eastAsia="Calibri"/>
          <w:sz w:val="22"/>
          <w:szCs w:val="22"/>
        </w:rPr>
        <w:t>5</w:t>
      </w:r>
      <w:r w:rsidRPr="00657843">
        <w:rPr>
          <w:rFonts w:eastAsia="Calibri"/>
          <w:sz w:val="22"/>
          <w:szCs w:val="22"/>
        </w:rPr>
        <w:t xml:space="preserve">.    </w:t>
      </w:r>
    </w:p>
    <w:p w14:paraId="6D155D39" w14:textId="77777777" w:rsidR="00F07BA4" w:rsidRDefault="00657843" w:rsidP="00657843">
      <w:pPr>
        <w:autoSpaceDE w:val="0"/>
        <w:autoSpaceDN w:val="0"/>
        <w:adjustRightInd w:val="0"/>
        <w:spacing w:line="360" w:lineRule="auto"/>
        <w:ind w:firstLine="284"/>
        <w:jc w:val="both"/>
        <w:rPr>
          <w:color w:val="000000"/>
          <w:sz w:val="22"/>
          <w:szCs w:val="22"/>
        </w:rPr>
      </w:pPr>
      <w:r w:rsidRPr="00657843">
        <w:rPr>
          <w:color w:val="000000"/>
          <w:sz w:val="22"/>
          <w:szCs w:val="22"/>
        </w:rPr>
        <w:t xml:space="preserve">                                             </w:t>
      </w:r>
    </w:p>
    <w:p w14:paraId="58A69198" w14:textId="7D7C7741" w:rsidR="0056508C" w:rsidRPr="0056508C" w:rsidRDefault="00F07BA4" w:rsidP="0056508C">
      <w:pPr>
        <w:jc w:val="both"/>
        <w:rPr>
          <w:rFonts w:eastAsia="Calibri"/>
          <w:bCs/>
          <w:color w:val="000000"/>
        </w:rPr>
      </w:pPr>
      <w:r>
        <w:rPr>
          <w:color w:val="000000"/>
          <w:sz w:val="22"/>
          <w:szCs w:val="22"/>
        </w:rPr>
        <w:t xml:space="preserve">                                             </w:t>
      </w:r>
      <w:r w:rsidR="00657843" w:rsidRPr="00657843">
        <w:rPr>
          <w:color w:val="000000"/>
          <w:sz w:val="22"/>
          <w:szCs w:val="22"/>
        </w:rPr>
        <w:t xml:space="preserve">    </w:t>
      </w:r>
      <w:r w:rsidR="000F4298">
        <w:rPr>
          <w:color w:val="000000"/>
          <w:sz w:val="22"/>
          <w:szCs w:val="22"/>
        </w:rPr>
        <w:t xml:space="preserve">     </w:t>
      </w:r>
      <w:r w:rsidR="0056508C" w:rsidRPr="0056508C">
        <w:rPr>
          <w:rFonts w:eastAsia="Calibri"/>
          <w:b/>
          <w:color w:val="000000"/>
        </w:rPr>
        <w:t xml:space="preserve">Presidente: </w:t>
      </w:r>
      <w:r w:rsidR="0056508C" w:rsidRPr="0056508C">
        <w:rPr>
          <w:rFonts w:eastAsia="Calibri"/>
          <w:bCs/>
          <w:color w:val="000000"/>
        </w:rPr>
        <w:t>Deputado Florêncio Neto</w:t>
      </w:r>
    </w:p>
    <w:p w14:paraId="092C5A20" w14:textId="77777777" w:rsidR="0056508C" w:rsidRPr="0056508C" w:rsidRDefault="0056508C" w:rsidP="0056508C">
      <w:pPr>
        <w:jc w:val="both"/>
        <w:rPr>
          <w:rFonts w:eastAsia="Calibri"/>
          <w:color w:val="000000"/>
        </w:rPr>
      </w:pPr>
    </w:p>
    <w:p w14:paraId="058A324E" w14:textId="0A9F4888" w:rsidR="0056508C" w:rsidRPr="0056508C" w:rsidRDefault="0056508C" w:rsidP="0056508C">
      <w:pPr>
        <w:autoSpaceDE w:val="0"/>
        <w:autoSpaceDN w:val="0"/>
        <w:adjustRightInd w:val="0"/>
        <w:spacing w:line="360" w:lineRule="auto"/>
        <w:jc w:val="both"/>
        <w:rPr>
          <w:rFonts w:eastAsia="Calibri"/>
          <w:color w:val="000000"/>
        </w:rPr>
      </w:pPr>
      <w:r w:rsidRPr="0056508C">
        <w:rPr>
          <w:rFonts w:eastAsia="Calibri"/>
          <w:b/>
          <w:color w:val="000000"/>
        </w:rPr>
        <w:t xml:space="preserve">                                                  Relator: </w:t>
      </w:r>
      <w:r w:rsidRPr="0056508C">
        <w:rPr>
          <w:rFonts w:eastAsia="Calibri"/>
          <w:bCs/>
          <w:color w:val="000000"/>
        </w:rPr>
        <w:t xml:space="preserve">Deputado </w:t>
      </w:r>
      <w:r>
        <w:rPr>
          <w:rFonts w:eastAsia="Calibri"/>
          <w:bCs/>
          <w:color w:val="000000"/>
        </w:rPr>
        <w:t>Júlio Mendonça</w:t>
      </w:r>
    </w:p>
    <w:p w14:paraId="21B8820D" w14:textId="77777777" w:rsidR="0056508C" w:rsidRPr="0056508C" w:rsidRDefault="0056508C" w:rsidP="0056508C">
      <w:pPr>
        <w:autoSpaceDE w:val="0"/>
        <w:autoSpaceDN w:val="0"/>
        <w:adjustRightInd w:val="0"/>
        <w:spacing w:line="360" w:lineRule="auto"/>
        <w:jc w:val="both"/>
        <w:rPr>
          <w:rFonts w:eastAsia="Calibri"/>
          <w:color w:val="000000"/>
        </w:rPr>
      </w:pPr>
    </w:p>
    <w:p w14:paraId="3E61EA8A" w14:textId="77777777" w:rsidR="0056508C" w:rsidRPr="0056508C" w:rsidRDefault="0056508C" w:rsidP="0056508C">
      <w:pPr>
        <w:autoSpaceDE w:val="0"/>
        <w:autoSpaceDN w:val="0"/>
        <w:adjustRightInd w:val="0"/>
        <w:spacing w:line="360" w:lineRule="auto"/>
        <w:jc w:val="both"/>
        <w:rPr>
          <w:rFonts w:eastAsia="Calibri"/>
          <w:b/>
          <w:color w:val="000000"/>
        </w:rPr>
      </w:pPr>
      <w:bookmarkStart w:id="3" w:name="_Hlk23259089"/>
      <w:r w:rsidRPr="0056508C">
        <w:rPr>
          <w:rFonts w:eastAsia="Calibri"/>
          <w:b/>
          <w:color w:val="000000"/>
        </w:rPr>
        <w:t>Vota a favor:                                                     Vota contra:</w:t>
      </w:r>
    </w:p>
    <w:p w14:paraId="4D6F845A" w14:textId="77777777" w:rsidR="0056508C" w:rsidRPr="0056508C" w:rsidRDefault="0056508C" w:rsidP="0056508C">
      <w:pPr>
        <w:autoSpaceDE w:val="0"/>
        <w:autoSpaceDN w:val="0"/>
        <w:adjustRightInd w:val="0"/>
        <w:spacing w:line="360" w:lineRule="auto"/>
        <w:jc w:val="both"/>
        <w:rPr>
          <w:rFonts w:eastAsia="Calibri"/>
          <w:b/>
          <w:color w:val="000000"/>
        </w:rPr>
      </w:pPr>
      <w:r w:rsidRPr="0056508C">
        <w:rPr>
          <w:rFonts w:eastAsia="Calibri"/>
          <w:bCs/>
          <w:color w:val="000000"/>
        </w:rPr>
        <w:t>Deputado João Batista Segundo</w:t>
      </w:r>
      <w:r w:rsidRPr="0056508C">
        <w:rPr>
          <w:rFonts w:eastAsia="Calibri"/>
          <w:b/>
          <w:color w:val="000000"/>
        </w:rPr>
        <w:t xml:space="preserve">                         ______________________________</w:t>
      </w:r>
    </w:p>
    <w:p w14:paraId="4A3550D4" w14:textId="77777777" w:rsidR="0056508C" w:rsidRPr="0056508C" w:rsidRDefault="0056508C" w:rsidP="0056508C">
      <w:pPr>
        <w:autoSpaceDE w:val="0"/>
        <w:autoSpaceDN w:val="0"/>
        <w:adjustRightInd w:val="0"/>
        <w:spacing w:line="360" w:lineRule="auto"/>
        <w:jc w:val="both"/>
        <w:rPr>
          <w:rFonts w:eastAsia="Calibri"/>
          <w:b/>
          <w:color w:val="000000"/>
        </w:rPr>
      </w:pPr>
      <w:r w:rsidRPr="0056508C">
        <w:rPr>
          <w:rFonts w:eastAsia="Calibri"/>
          <w:bCs/>
          <w:color w:val="000000"/>
        </w:rPr>
        <w:t xml:space="preserve">Deputado Neto Evangelista       </w:t>
      </w:r>
      <w:r w:rsidRPr="0056508C">
        <w:rPr>
          <w:rFonts w:eastAsia="Calibri"/>
          <w:b/>
          <w:color w:val="000000"/>
        </w:rPr>
        <w:t xml:space="preserve">                         ______________________________</w:t>
      </w:r>
    </w:p>
    <w:p w14:paraId="6A04F641" w14:textId="77777777" w:rsidR="0056508C" w:rsidRPr="0056508C" w:rsidRDefault="0056508C" w:rsidP="0056508C">
      <w:pPr>
        <w:autoSpaceDE w:val="0"/>
        <w:autoSpaceDN w:val="0"/>
        <w:adjustRightInd w:val="0"/>
        <w:spacing w:line="360" w:lineRule="auto"/>
        <w:jc w:val="both"/>
        <w:rPr>
          <w:rFonts w:eastAsia="Calibri"/>
          <w:b/>
          <w:color w:val="000000"/>
        </w:rPr>
      </w:pPr>
      <w:r w:rsidRPr="0056508C">
        <w:rPr>
          <w:rFonts w:eastAsia="Calibri"/>
          <w:bCs/>
          <w:color w:val="000000"/>
        </w:rPr>
        <w:t xml:space="preserve">Deputado Ariston                        </w:t>
      </w:r>
      <w:r w:rsidRPr="0056508C">
        <w:rPr>
          <w:rFonts w:eastAsia="Calibri"/>
          <w:b/>
          <w:color w:val="000000"/>
        </w:rPr>
        <w:t xml:space="preserve">                        ______________________________</w:t>
      </w:r>
    </w:p>
    <w:p w14:paraId="5B680962" w14:textId="77777777" w:rsidR="0056508C" w:rsidRPr="0056508C" w:rsidRDefault="0056508C" w:rsidP="0056508C">
      <w:pPr>
        <w:autoSpaceDE w:val="0"/>
        <w:autoSpaceDN w:val="0"/>
        <w:adjustRightInd w:val="0"/>
        <w:spacing w:line="360" w:lineRule="auto"/>
        <w:jc w:val="both"/>
        <w:rPr>
          <w:rFonts w:eastAsia="Calibri"/>
          <w:b/>
          <w:color w:val="000000"/>
        </w:rPr>
      </w:pPr>
      <w:r w:rsidRPr="0056508C">
        <w:rPr>
          <w:rFonts w:eastAsia="Calibri"/>
          <w:bCs/>
          <w:color w:val="000000"/>
        </w:rPr>
        <w:t>__________________________</w:t>
      </w:r>
      <w:r w:rsidRPr="0056508C">
        <w:rPr>
          <w:rFonts w:eastAsia="Calibri"/>
          <w:b/>
          <w:color w:val="000000"/>
        </w:rPr>
        <w:t xml:space="preserve">                        ______________________________</w:t>
      </w:r>
      <w:bookmarkEnd w:id="3"/>
    </w:p>
    <w:p w14:paraId="413CD269" w14:textId="77777777" w:rsidR="0056508C" w:rsidRPr="0056508C" w:rsidRDefault="0056508C" w:rsidP="0056508C">
      <w:pPr>
        <w:autoSpaceDE w:val="0"/>
        <w:autoSpaceDN w:val="0"/>
        <w:adjustRightInd w:val="0"/>
        <w:spacing w:after="200" w:line="360" w:lineRule="auto"/>
        <w:ind w:left="4111" w:hanging="3827"/>
        <w:jc w:val="both"/>
        <w:rPr>
          <w:rFonts w:eastAsia="Calibri"/>
          <w:color w:val="000000"/>
        </w:rPr>
      </w:pPr>
    </w:p>
    <w:p w14:paraId="62D1AA5C" w14:textId="5560EFDE" w:rsidR="00365B29" w:rsidRPr="000C57A8" w:rsidRDefault="00365B29" w:rsidP="0056508C">
      <w:pPr>
        <w:autoSpaceDE w:val="0"/>
        <w:autoSpaceDN w:val="0"/>
        <w:adjustRightInd w:val="0"/>
        <w:spacing w:line="360" w:lineRule="auto"/>
        <w:ind w:left="3686" w:hanging="3402"/>
        <w:jc w:val="both"/>
        <w:rPr>
          <w:rFonts w:eastAsia="Calibri"/>
          <w:color w:val="000000"/>
          <w:sz w:val="22"/>
          <w:szCs w:val="22"/>
          <w:lang w:eastAsia="en-US"/>
        </w:rPr>
      </w:pPr>
    </w:p>
    <w:p w14:paraId="17B3AF09" w14:textId="04248C29" w:rsidR="00526B55" w:rsidRPr="00657843" w:rsidRDefault="00657843" w:rsidP="000C57A8">
      <w:pPr>
        <w:autoSpaceDE w:val="0"/>
        <w:autoSpaceDN w:val="0"/>
        <w:adjustRightInd w:val="0"/>
        <w:spacing w:after="200" w:line="360" w:lineRule="auto"/>
        <w:ind w:hanging="284"/>
        <w:jc w:val="both"/>
        <w:rPr>
          <w:sz w:val="22"/>
          <w:szCs w:val="22"/>
        </w:rPr>
      </w:pPr>
      <w:r w:rsidRPr="00657843">
        <w:rPr>
          <w:color w:val="000000"/>
          <w:sz w:val="22"/>
          <w:szCs w:val="22"/>
        </w:rPr>
        <w:t xml:space="preserve"> </w:t>
      </w:r>
    </w:p>
    <w:sectPr w:rsidR="00526B55" w:rsidRPr="00657843" w:rsidSect="00657843">
      <w:headerReference w:type="default" r:id="rId7"/>
      <w:footerReference w:type="even" r:id="rId8"/>
      <w:footerReference w:type="default" r:id="rId9"/>
      <w:pgSz w:w="12240" w:h="15840"/>
      <w:pgMar w:top="2517" w:right="1701" w:bottom="1417" w:left="1701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48FC04" w14:textId="77777777" w:rsidR="004213F9" w:rsidRDefault="004213F9">
      <w:r>
        <w:separator/>
      </w:r>
    </w:p>
  </w:endnote>
  <w:endnote w:type="continuationSeparator" w:id="0">
    <w:p w14:paraId="04F91FD1" w14:textId="77777777" w:rsidR="004213F9" w:rsidRDefault="004213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936BB6" w14:textId="77777777" w:rsidR="00C91931" w:rsidRDefault="00C91931" w:rsidP="00E352DA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709816EE" w14:textId="77777777" w:rsidR="00C91931" w:rsidRDefault="00C91931" w:rsidP="00B27D03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35F966" w14:textId="77777777" w:rsidR="00C91931" w:rsidRDefault="00C91931" w:rsidP="00E352DA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DC759C">
      <w:rPr>
        <w:rStyle w:val="Nmerodepgina"/>
        <w:noProof/>
      </w:rPr>
      <w:t>2</w:t>
    </w:r>
    <w:r>
      <w:rPr>
        <w:rStyle w:val="Nmerodepgina"/>
      </w:rPr>
      <w:fldChar w:fldCharType="end"/>
    </w:r>
  </w:p>
  <w:p w14:paraId="07AD9F04" w14:textId="77777777" w:rsidR="00C91931" w:rsidRDefault="00C91931" w:rsidP="00B27D03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66A51D" w14:textId="77777777" w:rsidR="004213F9" w:rsidRDefault="004213F9">
      <w:r>
        <w:separator/>
      </w:r>
    </w:p>
  </w:footnote>
  <w:footnote w:type="continuationSeparator" w:id="0">
    <w:p w14:paraId="7F264BEE" w14:textId="77777777" w:rsidR="004213F9" w:rsidRDefault="004213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0F6C31" w14:textId="77777777" w:rsidR="00657843" w:rsidRPr="00657843" w:rsidRDefault="00657843" w:rsidP="00657843">
    <w:pPr>
      <w:tabs>
        <w:tab w:val="center" w:pos="4252"/>
        <w:tab w:val="right" w:pos="8504"/>
      </w:tabs>
      <w:ind w:right="360"/>
      <w:jc w:val="center"/>
      <w:rPr>
        <w:rFonts w:eastAsia="Calibri"/>
        <w:b/>
        <w:color w:val="000080"/>
      </w:rPr>
    </w:pPr>
    <w:r w:rsidRPr="00657843">
      <w:rPr>
        <w:rFonts w:eastAsia="Calibri"/>
        <w:noProof/>
      </w:rPr>
      <w:drawing>
        <wp:inline distT="0" distB="0" distL="0" distR="0" wp14:anchorId="424CDE56" wp14:editId="19FA5FB6">
          <wp:extent cx="942975" cy="819150"/>
          <wp:effectExtent l="0" t="0" r="9525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5B6835F" w14:textId="77777777" w:rsidR="00657843" w:rsidRPr="00657843" w:rsidRDefault="00657843" w:rsidP="00657843">
    <w:pPr>
      <w:tabs>
        <w:tab w:val="center" w:pos="4252"/>
        <w:tab w:val="right" w:pos="8504"/>
      </w:tabs>
      <w:jc w:val="center"/>
      <w:rPr>
        <w:rFonts w:eastAsia="Calibri"/>
      </w:rPr>
    </w:pPr>
    <w:r w:rsidRPr="00657843">
      <w:rPr>
        <w:rFonts w:eastAsia="Calibri"/>
      </w:rPr>
      <w:t>ESTADO DO MARANHÃO</w:t>
    </w:r>
  </w:p>
  <w:p w14:paraId="65DA98D2" w14:textId="77777777" w:rsidR="00657843" w:rsidRPr="00657843" w:rsidRDefault="00657843" w:rsidP="00657843">
    <w:pPr>
      <w:tabs>
        <w:tab w:val="center" w:pos="4252"/>
        <w:tab w:val="right" w:pos="8504"/>
      </w:tabs>
      <w:jc w:val="center"/>
      <w:rPr>
        <w:rFonts w:eastAsia="Calibri"/>
        <w:b/>
      </w:rPr>
    </w:pPr>
    <w:r w:rsidRPr="00657843">
      <w:rPr>
        <w:rFonts w:eastAsia="Calibri"/>
      </w:rPr>
      <w:t>ASSEMBLEIA LEGISLATIVA DO MARANHÃO</w:t>
    </w:r>
  </w:p>
  <w:p w14:paraId="0E258ACE" w14:textId="77777777" w:rsidR="00657843" w:rsidRPr="00657843" w:rsidRDefault="00657843" w:rsidP="00657843">
    <w:pPr>
      <w:tabs>
        <w:tab w:val="center" w:pos="4252"/>
        <w:tab w:val="right" w:pos="8504"/>
      </w:tabs>
      <w:jc w:val="center"/>
      <w:rPr>
        <w:rFonts w:eastAsia="Calibri"/>
        <w:b/>
      </w:rPr>
    </w:pPr>
    <w:r w:rsidRPr="00657843">
      <w:rPr>
        <w:rFonts w:eastAsia="Calibri"/>
        <w:b/>
      </w:rPr>
      <w:t>INSTALADA EM 16 DE FEVEREIRO DE 1835</w:t>
    </w:r>
  </w:p>
  <w:p w14:paraId="514AC47F" w14:textId="77777777" w:rsidR="00657843" w:rsidRPr="00657843" w:rsidRDefault="00657843" w:rsidP="00657843">
    <w:pPr>
      <w:tabs>
        <w:tab w:val="center" w:pos="4252"/>
        <w:tab w:val="right" w:pos="8504"/>
      </w:tabs>
      <w:jc w:val="center"/>
      <w:rPr>
        <w:rFonts w:ascii="Verdana" w:hAnsi="Verdana"/>
        <w:b/>
        <w:sz w:val="20"/>
        <w:szCs w:val="20"/>
      </w:rPr>
    </w:pPr>
    <w:r w:rsidRPr="00657843">
      <w:rPr>
        <w:rFonts w:eastAsia="Calibri"/>
      </w:rPr>
      <w:t>DIRETORIA LEGISLATIVA</w:t>
    </w:r>
  </w:p>
  <w:p w14:paraId="3C6116CD" w14:textId="77777777" w:rsidR="00657843" w:rsidRPr="00657843" w:rsidRDefault="00657843" w:rsidP="00657843">
    <w:pPr>
      <w:tabs>
        <w:tab w:val="center" w:pos="4252"/>
        <w:tab w:val="right" w:pos="8504"/>
      </w:tabs>
    </w:pPr>
  </w:p>
  <w:p w14:paraId="73B48811" w14:textId="77777777" w:rsidR="00C91931" w:rsidRPr="00657843" w:rsidRDefault="00C91931" w:rsidP="0065784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46081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BBF"/>
    <w:rsid w:val="000109E3"/>
    <w:rsid w:val="0001285C"/>
    <w:rsid w:val="00021F95"/>
    <w:rsid w:val="000273E6"/>
    <w:rsid w:val="000319F4"/>
    <w:rsid w:val="00031DCD"/>
    <w:rsid w:val="00037F9F"/>
    <w:rsid w:val="00040997"/>
    <w:rsid w:val="000417D1"/>
    <w:rsid w:val="0004437D"/>
    <w:rsid w:val="000443FA"/>
    <w:rsid w:val="00045E7B"/>
    <w:rsid w:val="0005762A"/>
    <w:rsid w:val="000659DF"/>
    <w:rsid w:val="00073686"/>
    <w:rsid w:val="000740A9"/>
    <w:rsid w:val="0007545C"/>
    <w:rsid w:val="00077FCE"/>
    <w:rsid w:val="00080916"/>
    <w:rsid w:val="000854AA"/>
    <w:rsid w:val="0009178C"/>
    <w:rsid w:val="00097A86"/>
    <w:rsid w:val="000A6A16"/>
    <w:rsid w:val="000B3D9E"/>
    <w:rsid w:val="000B5F42"/>
    <w:rsid w:val="000C57A8"/>
    <w:rsid w:val="000C57E8"/>
    <w:rsid w:val="000D2F8E"/>
    <w:rsid w:val="000E25A5"/>
    <w:rsid w:val="000E2E5A"/>
    <w:rsid w:val="000E4FA5"/>
    <w:rsid w:val="000F07E6"/>
    <w:rsid w:val="000F25A5"/>
    <w:rsid w:val="000F29A2"/>
    <w:rsid w:val="000F4298"/>
    <w:rsid w:val="00101BBF"/>
    <w:rsid w:val="001070F6"/>
    <w:rsid w:val="00110492"/>
    <w:rsid w:val="0011064E"/>
    <w:rsid w:val="0011420C"/>
    <w:rsid w:val="00116C28"/>
    <w:rsid w:val="0012139F"/>
    <w:rsid w:val="00140CCA"/>
    <w:rsid w:val="00145F3C"/>
    <w:rsid w:val="00146624"/>
    <w:rsid w:val="001550FD"/>
    <w:rsid w:val="00155BCA"/>
    <w:rsid w:val="00161849"/>
    <w:rsid w:val="001678AC"/>
    <w:rsid w:val="0017232D"/>
    <w:rsid w:val="00174486"/>
    <w:rsid w:val="00182F7B"/>
    <w:rsid w:val="001954F6"/>
    <w:rsid w:val="001972D9"/>
    <w:rsid w:val="001A2D1C"/>
    <w:rsid w:val="001B2AAE"/>
    <w:rsid w:val="001B2CB1"/>
    <w:rsid w:val="001B5BC8"/>
    <w:rsid w:val="001C2A01"/>
    <w:rsid w:val="001C31EE"/>
    <w:rsid w:val="001C5D83"/>
    <w:rsid w:val="001D2E7A"/>
    <w:rsid w:val="001D60FD"/>
    <w:rsid w:val="001D6CB6"/>
    <w:rsid w:val="001E1584"/>
    <w:rsid w:val="001E7C1F"/>
    <w:rsid w:val="001E7C28"/>
    <w:rsid w:val="001F5286"/>
    <w:rsid w:val="002018C9"/>
    <w:rsid w:val="002105A4"/>
    <w:rsid w:val="00211C48"/>
    <w:rsid w:val="00220EF4"/>
    <w:rsid w:val="00221636"/>
    <w:rsid w:val="00230C91"/>
    <w:rsid w:val="0023643D"/>
    <w:rsid w:val="00242A10"/>
    <w:rsid w:val="00256802"/>
    <w:rsid w:val="0025753E"/>
    <w:rsid w:val="002632B5"/>
    <w:rsid w:val="00266CF2"/>
    <w:rsid w:val="002675CE"/>
    <w:rsid w:val="00270474"/>
    <w:rsid w:val="00291C93"/>
    <w:rsid w:val="00293098"/>
    <w:rsid w:val="00293661"/>
    <w:rsid w:val="00294403"/>
    <w:rsid w:val="00296DD0"/>
    <w:rsid w:val="002A22E3"/>
    <w:rsid w:val="002A5ED9"/>
    <w:rsid w:val="002C13DC"/>
    <w:rsid w:val="002C37C1"/>
    <w:rsid w:val="002C588E"/>
    <w:rsid w:val="002D1315"/>
    <w:rsid w:val="002D70EC"/>
    <w:rsid w:val="002E36CA"/>
    <w:rsid w:val="002F26AA"/>
    <w:rsid w:val="002F2915"/>
    <w:rsid w:val="002F3C3F"/>
    <w:rsid w:val="00307AA0"/>
    <w:rsid w:val="003227A9"/>
    <w:rsid w:val="00331225"/>
    <w:rsid w:val="0033666E"/>
    <w:rsid w:val="00340B8B"/>
    <w:rsid w:val="00343346"/>
    <w:rsid w:val="00365B29"/>
    <w:rsid w:val="003703D0"/>
    <w:rsid w:val="00373B89"/>
    <w:rsid w:val="00374698"/>
    <w:rsid w:val="003818D4"/>
    <w:rsid w:val="00397732"/>
    <w:rsid w:val="00397C22"/>
    <w:rsid w:val="003A3A4F"/>
    <w:rsid w:val="003A5578"/>
    <w:rsid w:val="003A55CC"/>
    <w:rsid w:val="003B0C0E"/>
    <w:rsid w:val="003B78DC"/>
    <w:rsid w:val="003C1F4A"/>
    <w:rsid w:val="003C26D0"/>
    <w:rsid w:val="003D29AD"/>
    <w:rsid w:val="003E1175"/>
    <w:rsid w:val="003E2B5F"/>
    <w:rsid w:val="003E48F5"/>
    <w:rsid w:val="003E6ADF"/>
    <w:rsid w:val="003F0D90"/>
    <w:rsid w:val="003F2723"/>
    <w:rsid w:val="004033D8"/>
    <w:rsid w:val="004043A5"/>
    <w:rsid w:val="004051A9"/>
    <w:rsid w:val="00410555"/>
    <w:rsid w:val="0041236F"/>
    <w:rsid w:val="00414F6E"/>
    <w:rsid w:val="0041744C"/>
    <w:rsid w:val="004175B7"/>
    <w:rsid w:val="004213F9"/>
    <w:rsid w:val="0042481C"/>
    <w:rsid w:val="004258CF"/>
    <w:rsid w:val="00426312"/>
    <w:rsid w:val="0042670F"/>
    <w:rsid w:val="00432BD5"/>
    <w:rsid w:val="00432F10"/>
    <w:rsid w:val="00433CA2"/>
    <w:rsid w:val="00434247"/>
    <w:rsid w:val="00435787"/>
    <w:rsid w:val="0043782E"/>
    <w:rsid w:val="004447E4"/>
    <w:rsid w:val="00450908"/>
    <w:rsid w:val="004515CE"/>
    <w:rsid w:val="00455B4E"/>
    <w:rsid w:val="0046715B"/>
    <w:rsid w:val="00477EF6"/>
    <w:rsid w:val="00483978"/>
    <w:rsid w:val="004903CE"/>
    <w:rsid w:val="004A39B4"/>
    <w:rsid w:val="004A585F"/>
    <w:rsid w:val="004B1C3D"/>
    <w:rsid w:val="004B4302"/>
    <w:rsid w:val="004B6893"/>
    <w:rsid w:val="004C1D01"/>
    <w:rsid w:val="004C7503"/>
    <w:rsid w:val="004C7774"/>
    <w:rsid w:val="004D7F6F"/>
    <w:rsid w:val="004E0B80"/>
    <w:rsid w:val="004E22C3"/>
    <w:rsid w:val="004E5D11"/>
    <w:rsid w:val="004E7600"/>
    <w:rsid w:val="004F05E7"/>
    <w:rsid w:val="004F2C34"/>
    <w:rsid w:val="004F3930"/>
    <w:rsid w:val="004F720B"/>
    <w:rsid w:val="005013D9"/>
    <w:rsid w:val="00513E57"/>
    <w:rsid w:val="00520A4A"/>
    <w:rsid w:val="00526B55"/>
    <w:rsid w:val="00530E5A"/>
    <w:rsid w:val="00536AC4"/>
    <w:rsid w:val="00537F20"/>
    <w:rsid w:val="00540E3B"/>
    <w:rsid w:val="00545AD8"/>
    <w:rsid w:val="00550DCF"/>
    <w:rsid w:val="0056146A"/>
    <w:rsid w:val="0056508C"/>
    <w:rsid w:val="005655EF"/>
    <w:rsid w:val="00572803"/>
    <w:rsid w:val="00572F4F"/>
    <w:rsid w:val="00572F7F"/>
    <w:rsid w:val="00580380"/>
    <w:rsid w:val="005814BC"/>
    <w:rsid w:val="00582CFC"/>
    <w:rsid w:val="00584648"/>
    <w:rsid w:val="005853CD"/>
    <w:rsid w:val="00590403"/>
    <w:rsid w:val="00595156"/>
    <w:rsid w:val="0059629F"/>
    <w:rsid w:val="005B4B64"/>
    <w:rsid w:val="005C2665"/>
    <w:rsid w:val="005D1587"/>
    <w:rsid w:val="005D58DA"/>
    <w:rsid w:val="005D5F8E"/>
    <w:rsid w:val="005E6463"/>
    <w:rsid w:val="005E6990"/>
    <w:rsid w:val="005F2B75"/>
    <w:rsid w:val="005F567F"/>
    <w:rsid w:val="00603F22"/>
    <w:rsid w:val="00610B06"/>
    <w:rsid w:val="006123D4"/>
    <w:rsid w:val="0062118F"/>
    <w:rsid w:val="00630A16"/>
    <w:rsid w:val="006409C7"/>
    <w:rsid w:val="006418B4"/>
    <w:rsid w:val="00642FD5"/>
    <w:rsid w:val="00643E06"/>
    <w:rsid w:val="0064482E"/>
    <w:rsid w:val="006504E1"/>
    <w:rsid w:val="00657843"/>
    <w:rsid w:val="0066583D"/>
    <w:rsid w:val="00667275"/>
    <w:rsid w:val="006678B1"/>
    <w:rsid w:val="00670A79"/>
    <w:rsid w:val="00674A99"/>
    <w:rsid w:val="00685D9F"/>
    <w:rsid w:val="006930BE"/>
    <w:rsid w:val="00695112"/>
    <w:rsid w:val="006A63C8"/>
    <w:rsid w:val="006B19E2"/>
    <w:rsid w:val="006C0DC2"/>
    <w:rsid w:val="006C4AA5"/>
    <w:rsid w:val="006E31DC"/>
    <w:rsid w:val="006E63B3"/>
    <w:rsid w:val="006F3735"/>
    <w:rsid w:val="006F67E2"/>
    <w:rsid w:val="007052A0"/>
    <w:rsid w:val="007065EF"/>
    <w:rsid w:val="0070676D"/>
    <w:rsid w:val="00713384"/>
    <w:rsid w:val="007133CD"/>
    <w:rsid w:val="0071545A"/>
    <w:rsid w:val="00716895"/>
    <w:rsid w:val="00722C9E"/>
    <w:rsid w:val="00726CB3"/>
    <w:rsid w:val="0073250D"/>
    <w:rsid w:val="00732A03"/>
    <w:rsid w:val="0073596B"/>
    <w:rsid w:val="007367CA"/>
    <w:rsid w:val="0074103B"/>
    <w:rsid w:val="00742AE3"/>
    <w:rsid w:val="007472D0"/>
    <w:rsid w:val="00747D63"/>
    <w:rsid w:val="0075034E"/>
    <w:rsid w:val="00750E4D"/>
    <w:rsid w:val="0075254A"/>
    <w:rsid w:val="00760147"/>
    <w:rsid w:val="00770354"/>
    <w:rsid w:val="00782339"/>
    <w:rsid w:val="00783BE5"/>
    <w:rsid w:val="00784761"/>
    <w:rsid w:val="00786CDF"/>
    <w:rsid w:val="007962A4"/>
    <w:rsid w:val="007A1736"/>
    <w:rsid w:val="007A1DDF"/>
    <w:rsid w:val="007A4A9D"/>
    <w:rsid w:val="007B01FC"/>
    <w:rsid w:val="007B06D6"/>
    <w:rsid w:val="007B1A22"/>
    <w:rsid w:val="007B3B66"/>
    <w:rsid w:val="007B64FB"/>
    <w:rsid w:val="007C0A12"/>
    <w:rsid w:val="007C281B"/>
    <w:rsid w:val="007D2369"/>
    <w:rsid w:val="007E04A7"/>
    <w:rsid w:val="007E31F6"/>
    <w:rsid w:val="007E493F"/>
    <w:rsid w:val="00811749"/>
    <w:rsid w:val="00822B4F"/>
    <w:rsid w:val="008338A8"/>
    <w:rsid w:val="00834DEA"/>
    <w:rsid w:val="0083598F"/>
    <w:rsid w:val="00846680"/>
    <w:rsid w:val="00847ED7"/>
    <w:rsid w:val="00865448"/>
    <w:rsid w:val="00865D3D"/>
    <w:rsid w:val="00871C18"/>
    <w:rsid w:val="00872948"/>
    <w:rsid w:val="00876D35"/>
    <w:rsid w:val="00876FF5"/>
    <w:rsid w:val="00882DB8"/>
    <w:rsid w:val="0089035E"/>
    <w:rsid w:val="00895295"/>
    <w:rsid w:val="008A4DD5"/>
    <w:rsid w:val="008B12D0"/>
    <w:rsid w:val="008B3382"/>
    <w:rsid w:val="008B49CF"/>
    <w:rsid w:val="008C0E33"/>
    <w:rsid w:val="008C12F4"/>
    <w:rsid w:val="008C16A5"/>
    <w:rsid w:val="008C5E7C"/>
    <w:rsid w:val="008C6138"/>
    <w:rsid w:val="008D31F5"/>
    <w:rsid w:val="008E4CCC"/>
    <w:rsid w:val="008F3982"/>
    <w:rsid w:val="008F6149"/>
    <w:rsid w:val="008F6AF7"/>
    <w:rsid w:val="00901338"/>
    <w:rsid w:val="0090192E"/>
    <w:rsid w:val="00904BB3"/>
    <w:rsid w:val="009064B7"/>
    <w:rsid w:val="00907C97"/>
    <w:rsid w:val="00912D23"/>
    <w:rsid w:val="00917829"/>
    <w:rsid w:val="00922769"/>
    <w:rsid w:val="00926DEF"/>
    <w:rsid w:val="0093700E"/>
    <w:rsid w:val="00941BE8"/>
    <w:rsid w:val="009426FD"/>
    <w:rsid w:val="00950B7C"/>
    <w:rsid w:val="0095245C"/>
    <w:rsid w:val="00955BB4"/>
    <w:rsid w:val="00966B54"/>
    <w:rsid w:val="009729FC"/>
    <w:rsid w:val="00973241"/>
    <w:rsid w:val="00975847"/>
    <w:rsid w:val="0098454C"/>
    <w:rsid w:val="009A1F96"/>
    <w:rsid w:val="009B1B24"/>
    <w:rsid w:val="009B23C5"/>
    <w:rsid w:val="009B4526"/>
    <w:rsid w:val="009B6B27"/>
    <w:rsid w:val="009C4D67"/>
    <w:rsid w:val="009D71D4"/>
    <w:rsid w:val="009E72F2"/>
    <w:rsid w:val="009F475A"/>
    <w:rsid w:val="009F6408"/>
    <w:rsid w:val="00A01536"/>
    <w:rsid w:val="00A07C49"/>
    <w:rsid w:val="00A07E4C"/>
    <w:rsid w:val="00A138D5"/>
    <w:rsid w:val="00A14996"/>
    <w:rsid w:val="00A14EBD"/>
    <w:rsid w:val="00A150F7"/>
    <w:rsid w:val="00A16BFA"/>
    <w:rsid w:val="00A20B6D"/>
    <w:rsid w:val="00A238AF"/>
    <w:rsid w:val="00A32E18"/>
    <w:rsid w:val="00A373BC"/>
    <w:rsid w:val="00A41D68"/>
    <w:rsid w:val="00A4268C"/>
    <w:rsid w:val="00A44350"/>
    <w:rsid w:val="00A4476E"/>
    <w:rsid w:val="00A4573D"/>
    <w:rsid w:val="00A465DF"/>
    <w:rsid w:val="00A570C1"/>
    <w:rsid w:val="00A622DB"/>
    <w:rsid w:val="00A63A6A"/>
    <w:rsid w:val="00A66573"/>
    <w:rsid w:val="00A76FF0"/>
    <w:rsid w:val="00A840C9"/>
    <w:rsid w:val="00A863DF"/>
    <w:rsid w:val="00A913CE"/>
    <w:rsid w:val="00A95A8D"/>
    <w:rsid w:val="00AA0F5E"/>
    <w:rsid w:val="00AA13BC"/>
    <w:rsid w:val="00AA78A9"/>
    <w:rsid w:val="00AA7BDF"/>
    <w:rsid w:val="00AB0E9F"/>
    <w:rsid w:val="00AB33F7"/>
    <w:rsid w:val="00AB4902"/>
    <w:rsid w:val="00AC34B1"/>
    <w:rsid w:val="00AC67D6"/>
    <w:rsid w:val="00AE2923"/>
    <w:rsid w:val="00AE646E"/>
    <w:rsid w:val="00AF3D11"/>
    <w:rsid w:val="00AF68D9"/>
    <w:rsid w:val="00B013BC"/>
    <w:rsid w:val="00B02001"/>
    <w:rsid w:val="00B213C9"/>
    <w:rsid w:val="00B2484C"/>
    <w:rsid w:val="00B27D03"/>
    <w:rsid w:val="00B327C3"/>
    <w:rsid w:val="00B340EB"/>
    <w:rsid w:val="00B34D7C"/>
    <w:rsid w:val="00B44100"/>
    <w:rsid w:val="00B52D4C"/>
    <w:rsid w:val="00B56FE3"/>
    <w:rsid w:val="00B61068"/>
    <w:rsid w:val="00B61BD9"/>
    <w:rsid w:val="00B71A5A"/>
    <w:rsid w:val="00B73C3F"/>
    <w:rsid w:val="00B82463"/>
    <w:rsid w:val="00B83D87"/>
    <w:rsid w:val="00B84675"/>
    <w:rsid w:val="00B850F5"/>
    <w:rsid w:val="00B960B7"/>
    <w:rsid w:val="00BA0BF2"/>
    <w:rsid w:val="00BA13DE"/>
    <w:rsid w:val="00BA1DA3"/>
    <w:rsid w:val="00BC533B"/>
    <w:rsid w:val="00BC5C2A"/>
    <w:rsid w:val="00BD0214"/>
    <w:rsid w:val="00BD6336"/>
    <w:rsid w:val="00BE0669"/>
    <w:rsid w:val="00BF1CCA"/>
    <w:rsid w:val="00BF1F02"/>
    <w:rsid w:val="00BF3640"/>
    <w:rsid w:val="00BF4B09"/>
    <w:rsid w:val="00C1790C"/>
    <w:rsid w:val="00C17FCA"/>
    <w:rsid w:val="00C21F72"/>
    <w:rsid w:val="00C25E50"/>
    <w:rsid w:val="00C264A1"/>
    <w:rsid w:val="00C27586"/>
    <w:rsid w:val="00C31C26"/>
    <w:rsid w:val="00C325CF"/>
    <w:rsid w:val="00C35298"/>
    <w:rsid w:val="00C35DA4"/>
    <w:rsid w:val="00C4195B"/>
    <w:rsid w:val="00C43FEC"/>
    <w:rsid w:val="00C44E4A"/>
    <w:rsid w:val="00C47E77"/>
    <w:rsid w:val="00C53F24"/>
    <w:rsid w:val="00C54F75"/>
    <w:rsid w:val="00C57C36"/>
    <w:rsid w:val="00C64DFD"/>
    <w:rsid w:val="00C71F9F"/>
    <w:rsid w:val="00C7547C"/>
    <w:rsid w:val="00C84965"/>
    <w:rsid w:val="00C91931"/>
    <w:rsid w:val="00C972FB"/>
    <w:rsid w:val="00CB705A"/>
    <w:rsid w:val="00CC678F"/>
    <w:rsid w:val="00CD2860"/>
    <w:rsid w:val="00CD6C90"/>
    <w:rsid w:val="00CF02B7"/>
    <w:rsid w:val="00CF06EE"/>
    <w:rsid w:val="00CF45C1"/>
    <w:rsid w:val="00D1092B"/>
    <w:rsid w:val="00D13B49"/>
    <w:rsid w:val="00D228DB"/>
    <w:rsid w:val="00D24DF8"/>
    <w:rsid w:val="00D264EF"/>
    <w:rsid w:val="00D27CCD"/>
    <w:rsid w:val="00D3249C"/>
    <w:rsid w:val="00D365CF"/>
    <w:rsid w:val="00D402A5"/>
    <w:rsid w:val="00D4131C"/>
    <w:rsid w:val="00D42513"/>
    <w:rsid w:val="00D45768"/>
    <w:rsid w:val="00D46043"/>
    <w:rsid w:val="00D51F53"/>
    <w:rsid w:val="00D55B3A"/>
    <w:rsid w:val="00D631DB"/>
    <w:rsid w:val="00D6473B"/>
    <w:rsid w:val="00D726FE"/>
    <w:rsid w:val="00D77188"/>
    <w:rsid w:val="00D8662A"/>
    <w:rsid w:val="00D92394"/>
    <w:rsid w:val="00D97803"/>
    <w:rsid w:val="00DA5C11"/>
    <w:rsid w:val="00DA6BB1"/>
    <w:rsid w:val="00DB3702"/>
    <w:rsid w:val="00DB59BF"/>
    <w:rsid w:val="00DB7B87"/>
    <w:rsid w:val="00DC0949"/>
    <w:rsid w:val="00DC23C8"/>
    <w:rsid w:val="00DC759C"/>
    <w:rsid w:val="00DD26A1"/>
    <w:rsid w:val="00DD42BF"/>
    <w:rsid w:val="00DD6B6B"/>
    <w:rsid w:val="00DD7AC1"/>
    <w:rsid w:val="00DE1369"/>
    <w:rsid w:val="00DE7D19"/>
    <w:rsid w:val="00DF1360"/>
    <w:rsid w:val="00DF775F"/>
    <w:rsid w:val="00E06232"/>
    <w:rsid w:val="00E1748E"/>
    <w:rsid w:val="00E320D8"/>
    <w:rsid w:val="00E321A5"/>
    <w:rsid w:val="00E34232"/>
    <w:rsid w:val="00E3528E"/>
    <w:rsid w:val="00E352DA"/>
    <w:rsid w:val="00E44592"/>
    <w:rsid w:val="00E4471C"/>
    <w:rsid w:val="00E45D0F"/>
    <w:rsid w:val="00E50F77"/>
    <w:rsid w:val="00E54DD6"/>
    <w:rsid w:val="00E54E4A"/>
    <w:rsid w:val="00E54FE2"/>
    <w:rsid w:val="00E55320"/>
    <w:rsid w:val="00E56C7C"/>
    <w:rsid w:val="00E77444"/>
    <w:rsid w:val="00E84121"/>
    <w:rsid w:val="00E8619B"/>
    <w:rsid w:val="00E86E7A"/>
    <w:rsid w:val="00E90047"/>
    <w:rsid w:val="00E90472"/>
    <w:rsid w:val="00EA00CB"/>
    <w:rsid w:val="00EB3E73"/>
    <w:rsid w:val="00EC41D6"/>
    <w:rsid w:val="00EC6253"/>
    <w:rsid w:val="00ED1153"/>
    <w:rsid w:val="00ED2B32"/>
    <w:rsid w:val="00ED671C"/>
    <w:rsid w:val="00ED6B91"/>
    <w:rsid w:val="00ED7B82"/>
    <w:rsid w:val="00EE3CC2"/>
    <w:rsid w:val="00EE447A"/>
    <w:rsid w:val="00EF51F3"/>
    <w:rsid w:val="00F05319"/>
    <w:rsid w:val="00F07BA4"/>
    <w:rsid w:val="00F11CFA"/>
    <w:rsid w:val="00F15156"/>
    <w:rsid w:val="00F26D2A"/>
    <w:rsid w:val="00F369E4"/>
    <w:rsid w:val="00F40F90"/>
    <w:rsid w:val="00F41C97"/>
    <w:rsid w:val="00F475A3"/>
    <w:rsid w:val="00F60C8B"/>
    <w:rsid w:val="00F64245"/>
    <w:rsid w:val="00F83642"/>
    <w:rsid w:val="00F8425A"/>
    <w:rsid w:val="00F8499B"/>
    <w:rsid w:val="00F8570A"/>
    <w:rsid w:val="00F86A9A"/>
    <w:rsid w:val="00F90D4D"/>
    <w:rsid w:val="00F919F6"/>
    <w:rsid w:val="00F9260E"/>
    <w:rsid w:val="00F94FCD"/>
    <w:rsid w:val="00FA6863"/>
    <w:rsid w:val="00FB23FA"/>
    <w:rsid w:val="00FB6FCD"/>
    <w:rsid w:val="00FC1A96"/>
    <w:rsid w:val="00FC75D3"/>
    <w:rsid w:val="00FE21C5"/>
    <w:rsid w:val="00FF00A0"/>
    <w:rsid w:val="00FF3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6081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09DD3C49"/>
  <w15:chartTrackingRefBased/>
  <w15:docId w15:val="{FB5212C5-D498-7F40-8590-F807E2A8F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373B89"/>
    <w:pPr>
      <w:spacing w:line="360" w:lineRule="auto"/>
      <w:ind w:right="18" w:firstLine="1800"/>
      <w:jc w:val="both"/>
    </w:pPr>
    <w:rPr>
      <w:rFonts w:ascii="Arial" w:hAnsi="Arial" w:cs="Arial"/>
    </w:rPr>
  </w:style>
  <w:style w:type="paragraph" w:styleId="Rodap">
    <w:name w:val="footer"/>
    <w:basedOn w:val="Normal"/>
    <w:rsid w:val="00B27D03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  <w:rsid w:val="00B27D03"/>
  </w:style>
  <w:style w:type="paragraph" w:customStyle="1" w:styleId="p5">
    <w:name w:val="p5"/>
    <w:basedOn w:val="Normal"/>
    <w:rsid w:val="00C35298"/>
    <w:pPr>
      <w:widowControl w:val="0"/>
      <w:spacing w:line="200" w:lineRule="atLeast"/>
      <w:ind w:left="576" w:hanging="864"/>
      <w:jc w:val="both"/>
    </w:pPr>
    <w:rPr>
      <w:snapToGrid w:val="0"/>
      <w:szCs w:val="20"/>
    </w:rPr>
  </w:style>
  <w:style w:type="paragraph" w:styleId="NormalWeb">
    <w:name w:val="Normal (Web)"/>
    <w:basedOn w:val="Normal"/>
    <w:uiPriority w:val="99"/>
    <w:unhideWhenUsed/>
    <w:rsid w:val="0098454C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rsid w:val="00726CB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726CB3"/>
    <w:rPr>
      <w:sz w:val="24"/>
      <w:szCs w:val="24"/>
    </w:rPr>
  </w:style>
  <w:style w:type="paragraph" w:styleId="Textodenotaderodap">
    <w:name w:val="footnote text"/>
    <w:basedOn w:val="Normal"/>
    <w:link w:val="TextodenotaderodapChar"/>
    <w:rsid w:val="00293661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293661"/>
  </w:style>
  <w:style w:type="character" w:styleId="Refdenotaderodap">
    <w:name w:val="footnote reference"/>
    <w:rsid w:val="00293661"/>
    <w:rPr>
      <w:vertAlign w:val="superscript"/>
    </w:rPr>
  </w:style>
  <w:style w:type="character" w:styleId="Hyperlink">
    <w:name w:val="Hyperlink"/>
    <w:rsid w:val="00C264A1"/>
    <w:rPr>
      <w:color w:val="0000FF"/>
      <w:u w:val="single"/>
    </w:rPr>
  </w:style>
  <w:style w:type="paragraph" w:customStyle="1" w:styleId="p32">
    <w:name w:val="p32"/>
    <w:basedOn w:val="Normal"/>
    <w:rsid w:val="00A622DB"/>
    <w:pPr>
      <w:widowControl w:val="0"/>
      <w:tabs>
        <w:tab w:val="left" w:pos="540"/>
        <w:tab w:val="left" w:pos="860"/>
      </w:tabs>
      <w:spacing w:line="200" w:lineRule="atLeast"/>
      <w:ind w:left="576" w:hanging="288"/>
      <w:jc w:val="both"/>
    </w:pPr>
    <w:rPr>
      <w:snapToGrid w:val="0"/>
      <w:szCs w:val="20"/>
    </w:rPr>
  </w:style>
  <w:style w:type="paragraph" w:customStyle="1" w:styleId="p13">
    <w:name w:val="p13"/>
    <w:basedOn w:val="Normal"/>
    <w:rsid w:val="00A622DB"/>
    <w:pPr>
      <w:widowControl w:val="0"/>
      <w:tabs>
        <w:tab w:val="left" w:pos="540"/>
        <w:tab w:val="left" w:pos="840"/>
      </w:tabs>
      <w:spacing w:line="200" w:lineRule="atLeast"/>
      <w:ind w:left="576" w:hanging="288"/>
      <w:jc w:val="both"/>
    </w:pPr>
    <w:rPr>
      <w:snapToGrid w:val="0"/>
      <w:szCs w:val="20"/>
    </w:rPr>
  </w:style>
  <w:style w:type="paragraph" w:styleId="Textodebalo">
    <w:name w:val="Balloon Text"/>
    <w:basedOn w:val="Normal"/>
    <w:link w:val="TextodebaloChar"/>
    <w:rsid w:val="007133C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7133CD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610B06"/>
    <w:rPr>
      <w:sz w:val="24"/>
      <w:szCs w:val="24"/>
    </w:rPr>
  </w:style>
  <w:style w:type="character" w:customStyle="1" w:styleId="RecuodecorpodetextoChar">
    <w:name w:val="Recuo de corpo de texto Char"/>
    <w:link w:val="Recuodecorpodetexto"/>
    <w:rsid w:val="001E7C1F"/>
    <w:rPr>
      <w:rFonts w:ascii="Arial" w:hAnsi="Arial" w:cs="Arial"/>
      <w:sz w:val="24"/>
      <w:szCs w:val="24"/>
    </w:rPr>
  </w:style>
  <w:style w:type="paragraph" w:customStyle="1" w:styleId="Default">
    <w:name w:val="Default"/>
    <w:rsid w:val="000C57E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Ementa">
    <w:name w:val="Ementa"/>
    <w:basedOn w:val="Normal"/>
    <w:uiPriority w:val="1"/>
    <w:qFormat/>
    <w:rsid w:val="0075034E"/>
    <w:pPr>
      <w:spacing w:before="120" w:after="120"/>
      <w:ind w:left="4253"/>
      <w:jc w:val="both"/>
    </w:pPr>
    <w:rPr>
      <w:rFonts w:ascii="Calibri" w:eastAsia="Calibri" w:hAnsi="Calibri"/>
      <w:i/>
      <w:szCs w:val="22"/>
      <w:lang w:eastAsia="en-US"/>
    </w:rPr>
  </w:style>
  <w:style w:type="paragraph" w:customStyle="1" w:styleId="Corpo">
    <w:name w:val="Corpo"/>
    <w:basedOn w:val="Normal"/>
    <w:qFormat/>
    <w:rsid w:val="0075034E"/>
    <w:pPr>
      <w:spacing w:before="120" w:line="360" w:lineRule="auto"/>
      <w:ind w:firstLine="567"/>
      <w:jc w:val="both"/>
    </w:pPr>
    <w:rPr>
      <w:rFonts w:ascii="Calibri" w:eastAsia="Calibri" w:hAnsi="Calibri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4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8307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53816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13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2974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40979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131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511702">
          <w:marLeft w:val="0"/>
          <w:marRight w:val="0"/>
          <w:marTop w:val="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0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642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020511">
                      <w:marLeft w:val="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2278642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953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4504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57893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369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6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5628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44652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173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13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6018">
          <w:marLeft w:val="0"/>
          <w:marRight w:val="0"/>
          <w:marTop w:val="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155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784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411930">
                      <w:marLeft w:val="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3100256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79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0329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93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9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189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76235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125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1585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32307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53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1272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93073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10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1325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30062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722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1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2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8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0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7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5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2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0DED3D-9F8D-4E03-A9B9-2C6BDD237D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1980</Words>
  <Characters>11427</Characters>
  <Application>Microsoft Office Word</Application>
  <DocSecurity>0</DocSecurity>
  <Lines>95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  exame  da  competência legislativa do Estado federado  para</vt:lpstr>
    </vt:vector>
  </TitlesOfParts>
  <Company>APOIO Informática</Company>
  <LinksUpToDate>false</LinksUpToDate>
  <CharactersWithSpaces>13381</CharactersWithSpaces>
  <SharedDoc>false</SharedDoc>
  <HLinks>
    <vt:vector size="6" baseType="variant">
      <vt:variant>
        <vt:i4>589947</vt:i4>
      </vt:variant>
      <vt:variant>
        <vt:i4>0</vt:i4>
      </vt:variant>
      <vt:variant>
        <vt:i4>0</vt:i4>
      </vt:variant>
      <vt:variant>
        <vt:i4>5</vt:i4>
      </vt:variant>
      <vt:variant>
        <vt:lpwstr>https://www.almg.gov.br/consulte/legislacao/index.html?aba=js_tabConstituicaoEstadual&amp;tipoPesquisa=constituicaoEstadual&amp;ceArtigo=66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  exame  da  competência legislativa do Estado federado  para</dc:title>
  <dc:subject/>
  <dc:creator>Carlos Tajra</dc:creator>
  <cp:keywords/>
  <cp:lastModifiedBy>Antônio Guimarães de Freitas</cp:lastModifiedBy>
  <cp:revision>2</cp:revision>
  <cp:lastPrinted>2018-05-30T14:17:00Z</cp:lastPrinted>
  <dcterms:created xsi:type="dcterms:W3CDTF">2025-04-08T18:31:00Z</dcterms:created>
  <dcterms:modified xsi:type="dcterms:W3CDTF">2025-04-08T18:31:00Z</dcterms:modified>
</cp:coreProperties>
</file>