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070F2000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 6</w:t>
      </w:r>
      <w:r w:rsidR="0025500B">
        <w:rPr>
          <w:rFonts w:ascii="Times New Roman" w:hAnsi="Times New Roman"/>
          <w:sz w:val="24"/>
          <w:szCs w:val="24"/>
        </w:rPr>
        <w:t>5</w:t>
      </w:r>
      <w:r w:rsidR="00F61234">
        <w:rPr>
          <w:rFonts w:ascii="Times New Roman" w:hAnsi="Times New Roman"/>
          <w:sz w:val="24"/>
          <w:szCs w:val="24"/>
        </w:rPr>
        <w:t>8</w:t>
      </w:r>
      <w:r w:rsidR="00A549EC">
        <w:rPr>
          <w:rFonts w:ascii="Times New Roman" w:hAnsi="Times New Roman"/>
          <w:sz w:val="24"/>
          <w:szCs w:val="24"/>
        </w:rPr>
        <w:t>/2019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D242AA">
        <w:rPr>
          <w:rFonts w:ascii="Times New Roman" w:hAnsi="Times New Roman"/>
          <w:sz w:val="24"/>
          <w:szCs w:val="24"/>
        </w:rPr>
        <w:t>1</w:t>
      </w:r>
      <w:r w:rsidR="0025500B">
        <w:rPr>
          <w:rFonts w:ascii="Times New Roman" w:hAnsi="Times New Roman"/>
          <w:sz w:val="24"/>
          <w:szCs w:val="24"/>
        </w:rPr>
        <w:t>8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D242AA">
        <w:rPr>
          <w:rFonts w:ascii="Times New Roman" w:hAnsi="Times New Roman"/>
          <w:sz w:val="24"/>
          <w:szCs w:val="24"/>
        </w:rPr>
        <w:t>dezembro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2E7FC3">
        <w:rPr>
          <w:rFonts w:ascii="Times New Roman" w:hAnsi="Times New Roman"/>
          <w:sz w:val="24"/>
          <w:szCs w:val="24"/>
        </w:rPr>
        <w:t>20</w:t>
      </w:r>
      <w:r w:rsidR="00D242AA">
        <w:rPr>
          <w:rFonts w:ascii="Times New Roman" w:hAnsi="Times New Roman"/>
          <w:sz w:val="24"/>
          <w:szCs w:val="24"/>
        </w:rPr>
        <w:t>19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25500B">
        <w:rPr>
          <w:rFonts w:ascii="Times New Roman" w:hAnsi="Times New Roman"/>
          <w:sz w:val="24"/>
          <w:szCs w:val="24"/>
        </w:rPr>
        <w:t xml:space="preserve"> </w:t>
      </w:r>
      <w:r w:rsidR="00F61234">
        <w:rPr>
          <w:rFonts w:ascii="Times New Roman" w:hAnsi="Times New Roman"/>
          <w:sz w:val="24"/>
          <w:szCs w:val="24"/>
        </w:rPr>
        <w:t>veda a cobrança de valor adicional pelo uso de equipamentos suplementares em hospitais, clínicas, maternidades e congêneres.</w:t>
      </w:r>
      <w:bookmarkStart w:id="0" w:name="_GoBack"/>
      <w:bookmarkEnd w:id="0"/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77777777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BC2096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julho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9</cp:revision>
  <cp:lastPrinted>2020-07-31T13:40:00Z</cp:lastPrinted>
  <dcterms:created xsi:type="dcterms:W3CDTF">2020-04-07T14:47:00Z</dcterms:created>
  <dcterms:modified xsi:type="dcterms:W3CDTF">2020-07-31T14:44:00Z</dcterms:modified>
</cp:coreProperties>
</file>