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12748" w14:textId="77777777" w:rsidR="008F67BC" w:rsidRPr="00346BC4" w:rsidRDefault="008F67BC" w:rsidP="0022450C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35B883EA" w:rsidR="00B20E29" w:rsidRDefault="00B20E29" w:rsidP="00E06ACF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BC4">
        <w:rPr>
          <w:rFonts w:ascii="Arial" w:hAnsi="Arial" w:cs="Arial"/>
          <w:b/>
          <w:sz w:val="24"/>
          <w:szCs w:val="24"/>
        </w:rPr>
        <w:t>PROJETO DE LEI Nº_________/2025</w:t>
      </w:r>
    </w:p>
    <w:p w14:paraId="02A97EC7" w14:textId="77777777" w:rsidR="00346BC4" w:rsidRPr="00346BC4" w:rsidRDefault="00346BC4" w:rsidP="00E06ACF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39851C" w14:textId="77777777" w:rsidR="00346BC4" w:rsidRPr="00346BC4" w:rsidRDefault="00346BC4" w:rsidP="00346BC4">
      <w:pPr>
        <w:widowControl/>
        <w:autoSpaceDE/>
        <w:autoSpaceDN/>
        <w:ind w:left="3600"/>
        <w:jc w:val="both"/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</w:pPr>
      <w:r w:rsidRPr="00346BC4"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  <w:t>Dispõe sobre a isenção do Imposto sobre Transmissão Causa Mortis e Doação – ITCD, no âmbito do Estado do Maranhão, às mulheres empreendedoras individuais – MEI, nos casos em que o bem transmitido esteja vinculado à atividade empresarial.</w:t>
      </w:r>
    </w:p>
    <w:p w14:paraId="29B4627B" w14:textId="77777777" w:rsidR="00346BC4" w:rsidRPr="00346BC4" w:rsidRDefault="00346BC4" w:rsidP="00346BC4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</w:p>
    <w:p w14:paraId="0832E453" w14:textId="7BBC611E" w:rsidR="00346BC4" w:rsidRP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346BC4"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  <w:t>Art. 1º</w:t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  <w:t xml:space="preserve"> - </w:t>
      </w:r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Fica concedida isenção do ITCD – Imposto sobre Transmissão Causa Mortis e Doação, no âmbito do Estado do Maranhão, às transmissões causa mortis em favor de herdeiras ou legatárias do sexo feminino, desde que, cumulativamente:</w:t>
      </w:r>
    </w:p>
    <w:p w14:paraId="236DFD40" w14:textId="77777777" w:rsidR="00346BC4" w:rsidRP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I – </w:t>
      </w:r>
      <w:proofErr w:type="gramStart"/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a</w:t>
      </w:r>
      <w:proofErr w:type="gramEnd"/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 beneficiária seja formalmente registrada como Microempreendedora Individual (MEI), nos termos da legislação federal vigente;</w:t>
      </w:r>
    </w:p>
    <w:p w14:paraId="4D994376" w14:textId="77777777" w:rsidR="00346BC4" w:rsidRP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II – </w:t>
      </w:r>
      <w:proofErr w:type="gramStart"/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os</w:t>
      </w:r>
      <w:proofErr w:type="gramEnd"/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 bens, direitos ou cotas sociais transmitidos estejam comprovadamente vinculados ao estabelecimento empresarial ou à atividade econômica exercida na condição de MEI;</w:t>
      </w:r>
    </w:p>
    <w:p w14:paraId="0BBDDD16" w14:textId="77777777" w:rsidR="00346BC4" w:rsidRP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III – a transmissão ocorra com o objetivo de continuidade das atividades empresariais exercidas.</w:t>
      </w:r>
    </w:p>
    <w:p w14:paraId="4DBFBC87" w14:textId="77777777" w:rsid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</w:pPr>
    </w:p>
    <w:p w14:paraId="0DD758F5" w14:textId="3887D33E" w:rsidR="00346BC4" w:rsidRP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346BC4"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  <w:t>Art. 2º</w:t>
      </w:r>
      <w:r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 - </w:t>
      </w:r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Para fins de comprovação da isenção prevista nesta Lei, deverão ser apresentados os seguintes documentos:</w:t>
      </w:r>
    </w:p>
    <w:p w14:paraId="197C58D1" w14:textId="77777777" w:rsidR="00346BC4" w:rsidRP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I – </w:t>
      </w:r>
      <w:proofErr w:type="gramStart"/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certidão</w:t>
      </w:r>
      <w:proofErr w:type="gramEnd"/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 de óbito do de cujus;</w:t>
      </w:r>
    </w:p>
    <w:p w14:paraId="52680B0A" w14:textId="77777777" w:rsidR="00346BC4" w:rsidRP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II – </w:t>
      </w:r>
      <w:proofErr w:type="gramStart"/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comprovante</w:t>
      </w:r>
      <w:proofErr w:type="gramEnd"/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 de inscrição ativa da beneficiária como MEI no momento da abertura da sucessão;</w:t>
      </w:r>
    </w:p>
    <w:p w14:paraId="7C7C528D" w14:textId="77777777" w:rsidR="00346BC4" w:rsidRP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III – documentos que comprovem a vinculação dos bens ao estabelecimento ou à atividade comercial, como:</w:t>
      </w:r>
    </w:p>
    <w:p w14:paraId="1E6DD445" w14:textId="77777777" w:rsid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a) contrato de locação do ponto comercial em nome do MEI;</w:t>
      </w:r>
    </w:p>
    <w:p w14:paraId="0B2753DE" w14:textId="77777777" w:rsid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lastRenderedPageBreak/>
        <w:t>b) notas fiscais de aquisição de equipamentos, mercadorias ou insumos em nome do MEI;</w:t>
      </w:r>
    </w:p>
    <w:p w14:paraId="3C6C665F" w14:textId="77777777" w:rsid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c) declaração de imposto de renda indicando bens vinculados à atividade empresarial;</w:t>
      </w:r>
    </w:p>
    <w:p w14:paraId="4877D5D8" w14:textId="05377ABD" w:rsidR="00346BC4" w:rsidRP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d) outros documentos que demonstrem a relação direta entre os bens transmitidos e a atividade comercial.</w:t>
      </w:r>
    </w:p>
    <w:p w14:paraId="0D572E95" w14:textId="77777777" w:rsid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</w:pPr>
    </w:p>
    <w:p w14:paraId="3853AB97" w14:textId="2199B103" w:rsidR="00346BC4" w:rsidRP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346BC4"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  <w:t>Art. 3º</w:t>
      </w:r>
      <w:r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 - </w:t>
      </w:r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A isenção de que trata esta Lei não afasta a obrigatoriedade do cumprimento dos procedimentos formais para apuração do imposto junto à Secretaria de Estado da Fazenda do Maranhão.</w:t>
      </w:r>
    </w:p>
    <w:p w14:paraId="7CEA9DD0" w14:textId="730CFC0C" w:rsidR="00346BC4" w:rsidRP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346BC4"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  <w:t>Art. 4º</w:t>
      </w:r>
      <w:r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 - </w:t>
      </w:r>
      <w:r w:rsidRPr="00346BC4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Esta Lei entra em vigor na data de sua publicação.</w:t>
      </w:r>
    </w:p>
    <w:p w14:paraId="4FB52C39" w14:textId="77777777" w:rsidR="00346BC4" w:rsidRPr="00346BC4" w:rsidRDefault="00346BC4" w:rsidP="00346BC4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</w:p>
    <w:p w14:paraId="746E63B1" w14:textId="3F38D672" w:rsidR="00346BC4" w:rsidRPr="00346BC4" w:rsidRDefault="00346BC4" w:rsidP="00346BC4">
      <w:pPr>
        <w:pStyle w:val="s18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346BC4">
        <w:rPr>
          <w:rStyle w:val="s7"/>
          <w:rFonts w:ascii="Arial" w:hAnsi="Arial" w:cs="Arial"/>
          <w:color w:val="000000"/>
        </w:rPr>
        <w:t>Assembleia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r w:rsidRPr="00346BC4">
        <w:rPr>
          <w:rStyle w:val="s7"/>
          <w:rFonts w:ascii="Arial" w:hAnsi="Arial" w:cs="Arial"/>
          <w:color w:val="000000"/>
        </w:rPr>
        <w:t>Legislativa do Estado do Maranhão, em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r w:rsidRPr="00346BC4">
        <w:rPr>
          <w:rStyle w:val="s7"/>
          <w:rFonts w:ascii="Arial" w:hAnsi="Arial" w:cs="Arial"/>
          <w:color w:val="000000"/>
        </w:rPr>
        <w:t>1</w:t>
      </w:r>
      <w:r>
        <w:rPr>
          <w:rStyle w:val="s7"/>
          <w:rFonts w:ascii="Arial" w:hAnsi="Arial" w:cs="Arial"/>
          <w:color w:val="000000"/>
        </w:rPr>
        <w:t>2</w:t>
      </w:r>
      <w:r w:rsidRPr="00346BC4">
        <w:rPr>
          <w:rStyle w:val="s7"/>
          <w:rFonts w:ascii="Arial" w:hAnsi="Arial" w:cs="Arial"/>
          <w:color w:val="000000"/>
        </w:rPr>
        <w:t xml:space="preserve"> de maio de 2025</w:t>
      </w:r>
    </w:p>
    <w:p w14:paraId="49F36719" w14:textId="77777777" w:rsidR="00346BC4" w:rsidRPr="00346BC4" w:rsidRDefault="00346BC4" w:rsidP="00346BC4">
      <w:pPr>
        <w:pStyle w:val="s19"/>
        <w:spacing w:before="0" w:beforeAutospacing="0" w:after="0" w:afterAutospacing="0"/>
        <w:ind w:firstLine="735"/>
        <w:rPr>
          <w:rFonts w:ascii="Arial" w:hAnsi="Arial" w:cs="Arial"/>
          <w:color w:val="000000"/>
        </w:rPr>
      </w:pPr>
      <w:r w:rsidRPr="00346BC4">
        <w:rPr>
          <w:rFonts w:ascii="Arial" w:hAnsi="Arial" w:cs="Arial"/>
          <w:color w:val="000000"/>
        </w:rPr>
        <w:t> </w:t>
      </w:r>
    </w:p>
    <w:p w14:paraId="19C71635" w14:textId="26F22C1C" w:rsidR="00346BC4" w:rsidRDefault="00346BC4" w:rsidP="00346BC4">
      <w:pPr>
        <w:pStyle w:val="s11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392FE33" w14:textId="292EB4B5" w:rsidR="00346BC4" w:rsidRDefault="00346BC4" w:rsidP="00346BC4">
      <w:pPr>
        <w:pStyle w:val="s11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FD756D9" w14:textId="77777777" w:rsidR="00346BC4" w:rsidRPr="00346BC4" w:rsidRDefault="00346BC4" w:rsidP="00346BC4">
      <w:pPr>
        <w:pStyle w:val="s11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5ABA6DB" w14:textId="77777777" w:rsidR="00346BC4" w:rsidRPr="00346BC4" w:rsidRDefault="00346BC4" w:rsidP="00346BC4">
      <w:pPr>
        <w:pStyle w:val="s1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346BC4">
        <w:rPr>
          <w:rStyle w:val="s5"/>
          <w:rFonts w:ascii="Arial" w:hAnsi="Arial" w:cs="Arial"/>
          <w:b/>
          <w:bCs/>
          <w:color w:val="000000"/>
        </w:rPr>
        <w:t>Catulé</w:t>
      </w:r>
      <w:proofErr w:type="spellEnd"/>
      <w:r w:rsidRPr="00346BC4">
        <w:rPr>
          <w:rStyle w:val="s5"/>
          <w:rFonts w:ascii="Arial" w:hAnsi="Arial" w:cs="Arial"/>
          <w:b/>
          <w:bCs/>
          <w:color w:val="000000"/>
        </w:rPr>
        <w:t xml:space="preserve"> Júnior</w:t>
      </w:r>
    </w:p>
    <w:p w14:paraId="252CCA7F" w14:textId="77777777" w:rsidR="00346BC4" w:rsidRPr="00346BC4" w:rsidRDefault="00346BC4" w:rsidP="00346BC4">
      <w:pPr>
        <w:pStyle w:val="s18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346BC4">
        <w:rPr>
          <w:rStyle w:val="s7"/>
          <w:rFonts w:ascii="Arial" w:hAnsi="Arial" w:cs="Arial"/>
          <w:color w:val="000000"/>
        </w:rPr>
        <w:t>Deputado Estadual</w:t>
      </w:r>
    </w:p>
    <w:p w14:paraId="426120AF" w14:textId="77777777" w:rsidR="00346BC4" w:rsidRPr="00346BC4" w:rsidRDefault="00346BC4" w:rsidP="00346BC4">
      <w:pPr>
        <w:pStyle w:val="s18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346BC4">
        <w:rPr>
          <w:rFonts w:ascii="Arial" w:hAnsi="Arial" w:cs="Arial"/>
          <w:color w:val="000000"/>
        </w:rPr>
        <w:t> </w:t>
      </w:r>
    </w:p>
    <w:p w14:paraId="232FBC68" w14:textId="77777777" w:rsidR="00346BC4" w:rsidRPr="00346BC4" w:rsidRDefault="00346BC4" w:rsidP="00346BC4">
      <w:pPr>
        <w:widowControl/>
        <w:autoSpaceDE/>
        <w:autoSpaceDN/>
        <w:spacing w:before="100" w:beforeAutospacing="1" w:after="100" w:afterAutospacing="1" w:line="360" w:lineRule="auto"/>
        <w:ind w:firstLine="720"/>
        <w:jc w:val="both"/>
        <w:rPr>
          <w:rFonts w:eastAsiaTheme="minorEastAsia"/>
          <w:color w:val="000000"/>
          <w:sz w:val="24"/>
          <w:szCs w:val="24"/>
          <w:lang w:val="pt-BR" w:eastAsia="pt-BR"/>
        </w:rPr>
      </w:pPr>
    </w:p>
    <w:p w14:paraId="795BABA8" w14:textId="77777777" w:rsidR="00346BC4" w:rsidRPr="00346BC4" w:rsidRDefault="00346BC4" w:rsidP="00346BC4">
      <w:pPr>
        <w:widowControl/>
        <w:autoSpaceDE/>
        <w:autoSpaceDN/>
        <w:spacing w:before="100" w:beforeAutospacing="1" w:after="100" w:afterAutospacing="1"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</w:p>
    <w:p w14:paraId="4CD54FFB" w14:textId="77777777" w:rsidR="00346BC4" w:rsidRPr="00346BC4" w:rsidRDefault="00346BC4" w:rsidP="00346BC4">
      <w:pPr>
        <w:widowControl/>
        <w:autoSpaceDE/>
        <w:autoSpaceDN/>
        <w:spacing w:before="100" w:beforeAutospacing="1" w:after="100" w:afterAutospacing="1"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</w:p>
    <w:p w14:paraId="2E6A2514" w14:textId="77777777" w:rsidR="00346BC4" w:rsidRDefault="00346BC4" w:rsidP="00346BC4">
      <w:pPr>
        <w:widowControl/>
        <w:autoSpaceDE/>
        <w:autoSpaceDN/>
        <w:spacing w:before="100" w:beforeAutospacing="1" w:after="100" w:afterAutospacing="1" w:line="360" w:lineRule="auto"/>
        <w:ind w:firstLine="720"/>
        <w:jc w:val="both"/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</w:pPr>
    </w:p>
    <w:p w14:paraId="391D4263" w14:textId="77777777" w:rsidR="00346BC4" w:rsidRDefault="00346BC4" w:rsidP="00346BC4">
      <w:pPr>
        <w:widowControl/>
        <w:autoSpaceDE/>
        <w:autoSpaceDN/>
        <w:spacing w:before="100" w:beforeAutospacing="1" w:after="100" w:afterAutospacing="1" w:line="360" w:lineRule="auto"/>
        <w:ind w:firstLine="720"/>
        <w:jc w:val="both"/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</w:pPr>
    </w:p>
    <w:p w14:paraId="3288ACCD" w14:textId="77777777" w:rsidR="00346BC4" w:rsidRDefault="00346BC4" w:rsidP="00346BC4">
      <w:pPr>
        <w:widowControl/>
        <w:autoSpaceDE/>
        <w:autoSpaceDN/>
        <w:spacing w:before="100" w:beforeAutospacing="1" w:after="100" w:afterAutospacing="1" w:line="360" w:lineRule="auto"/>
        <w:ind w:firstLine="720"/>
        <w:jc w:val="both"/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</w:pPr>
    </w:p>
    <w:p w14:paraId="581A78A3" w14:textId="64C0E22A" w:rsidR="00346BC4" w:rsidRPr="00FE557E" w:rsidRDefault="00FE557E" w:rsidP="00FE557E">
      <w:pPr>
        <w:widowControl/>
        <w:autoSpaceDE/>
        <w:autoSpaceDN/>
        <w:spacing w:line="360" w:lineRule="auto"/>
        <w:jc w:val="center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FE557E"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  <w:lastRenderedPageBreak/>
        <w:t>JUSTIFICATIVA</w:t>
      </w:r>
    </w:p>
    <w:p w14:paraId="0A92E4FA" w14:textId="77777777" w:rsidR="00346BC4" w:rsidRPr="00FE557E" w:rsidRDefault="00346BC4" w:rsidP="00FE557E">
      <w:pPr>
        <w:widowControl/>
        <w:autoSpaceDE/>
        <w:autoSpaceDN/>
        <w:spacing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</w:p>
    <w:p w14:paraId="4067038B" w14:textId="77777777" w:rsidR="00346BC4" w:rsidRPr="00FE557E" w:rsidRDefault="00346BC4" w:rsidP="00FE557E">
      <w:pPr>
        <w:widowControl/>
        <w:autoSpaceDE/>
        <w:autoSpaceDN/>
        <w:spacing w:after="120"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O presente Projeto de Lei visa instituir uma política fiscal de estímulo e proteção à atividade econômica exercida por mulheres empreendedoras no Estado do Maranhão, especificamente aquelas enquadradas como Microempreendedoras Individuais (MEI). Trata-se de um instrumento de justiça fiscal e de promoção da equidade de gênero no ambiente econômico.</w:t>
      </w:r>
    </w:p>
    <w:p w14:paraId="4AFFB23A" w14:textId="77777777" w:rsidR="00346BC4" w:rsidRPr="00FE557E" w:rsidRDefault="00346BC4" w:rsidP="00FE557E">
      <w:pPr>
        <w:widowControl/>
        <w:autoSpaceDE/>
        <w:autoSpaceDN/>
        <w:spacing w:after="120"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As mulheres representam uma parcela significativa dos microempreendedores no país, sendo responsáveis por iniciativas que geram emprego, movimentam a economia local e contribuem diretamente para a renda familiar. No entanto, essas empreendedoras enfrentam obstáculos estruturais que vão desde o acesso a crédito até a insegurança jurídica e tributária em momentos de sucessão patrimonial.</w:t>
      </w:r>
    </w:p>
    <w:p w14:paraId="4E6546E4" w14:textId="330385BD" w:rsidR="00346BC4" w:rsidRPr="00FE557E" w:rsidRDefault="00346BC4" w:rsidP="00FE557E">
      <w:pPr>
        <w:widowControl/>
        <w:autoSpaceDE/>
        <w:autoSpaceDN/>
        <w:spacing w:after="120"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Muitas dessas mulheres são, ainda,</w:t>
      </w:r>
      <w:r w:rsid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 </w:t>
      </w:r>
      <w:r w:rsidRPr="00FE557E"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  <w:t>mães e únicas provedoras do lar</w:t>
      </w: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, sobre as quais recaem, de forma integral, as responsabilidades pelo sustento da família, educação dos filhos e gestão do domicílio. Para essas mulheres, o pequeno negócio muitas vezes é a principal ou única fonte de renda familiar. A imposição do ITCD na ocasião do falecimento de um ente querido – muitas vezes também ligado à atividade empresarial – pode representar não só um ônus fiscal desproporcional, mas o risco real de</w:t>
      </w:r>
      <w:r w:rsid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 </w:t>
      </w:r>
      <w:r w:rsidRPr="00FE557E"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  <w:t>encerramento das atividades comerciais e desestabilização da renda doméstica</w:t>
      </w: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.</w:t>
      </w:r>
    </w:p>
    <w:p w14:paraId="1E5D8148" w14:textId="77777777" w:rsidR="00346BC4" w:rsidRPr="00FE557E" w:rsidRDefault="00346BC4" w:rsidP="00FE557E">
      <w:pPr>
        <w:widowControl/>
        <w:autoSpaceDE/>
        <w:autoSpaceDN/>
        <w:spacing w:after="120"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A transmissão de bens causa mortis, especialmente quando relacionada à continuidade de um negócio, pode representar um fator de desestímulo à manutenção da atividade, sobretudo quando os encargos tributários são desproporcionais à capacidade econômica da herdeira ou quando o patrimônio envolvido está diretamente ligado à operação do pequeno negócio.</w:t>
      </w:r>
    </w:p>
    <w:p w14:paraId="04356294" w14:textId="427D059E" w:rsidR="00346BC4" w:rsidRPr="00FE557E" w:rsidRDefault="00346BC4" w:rsidP="00FE557E">
      <w:pPr>
        <w:widowControl/>
        <w:autoSpaceDE/>
        <w:autoSpaceDN/>
        <w:spacing w:after="120"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Neste contexto, a proposta tem como escopo garantir a</w:t>
      </w:r>
      <w:r w:rsid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 </w:t>
      </w:r>
      <w:r w:rsidRPr="00FE557E"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  <w:t>isenção do ITCD</w:t>
      </w:r>
      <w:r w:rsid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 </w:t>
      </w: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nos casos em que os bens herdados estejam diretamente vinculados ao exercício de atividade econômica formalizada como MEI pela herdeira. A medida reconhece a </w:t>
      </w: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lastRenderedPageBreak/>
        <w:t>função social da empresa individual e busca</w:t>
      </w:r>
      <w:r w:rsid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 </w:t>
      </w:r>
      <w:r w:rsidRPr="00FE557E"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  <w:t>evitar a desestruturação de empreendimentos familiares</w:t>
      </w: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, promovendo a</w:t>
      </w:r>
      <w:r w:rsid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 </w:t>
      </w:r>
      <w:r w:rsidRPr="00FE557E"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  <w:t>continuidade da atividade produtiva</w:t>
      </w: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, a </w:t>
      </w:r>
      <w:r w:rsidRPr="00FE557E"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  <w:t>manutenção da renda de mulheres chefes de família</w:t>
      </w: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, e o</w:t>
      </w:r>
      <w:r w:rsid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 </w:t>
      </w:r>
      <w:r w:rsidRPr="00FE557E">
        <w:rPr>
          <w:rFonts w:ascii="Arial" w:eastAsiaTheme="minorEastAsia" w:hAnsi="Arial" w:cs="Arial"/>
          <w:b/>
          <w:bCs/>
          <w:color w:val="000000"/>
          <w:sz w:val="24"/>
          <w:szCs w:val="24"/>
          <w:lang w:val="pt-BR" w:eastAsia="pt-BR"/>
        </w:rPr>
        <w:t>fomento ao empreendedorismo feminino</w:t>
      </w:r>
      <w:r w:rsid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 xml:space="preserve"> </w:t>
      </w: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no Maranhão.</w:t>
      </w:r>
    </w:p>
    <w:p w14:paraId="0F137CD1" w14:textId="77777777" w:rsidR="00346BC4" w:rsidRPr="00FE557E" w:rsidRDefault="00346BC4" w:rsidP="00FE557E">
      <w:pPr>
        <w:widowControl/>
        <w:autoSpaceDE/>
        <w:autoSpaceDN/>
        <w:spacing w:after="120"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Além disso, trata-se de um incentivo à formalização de negócios e ao fortalecimento da cultura empreendedora entre mulheres, impactando positivamente a economia maranhense, com geração de renda, ocupação e redução de desigualdades.</w:t>
      </w:r>
    </w:p>
    <w:p w14:paraId="79A8287A" w14:textId="77777777" w:rsidR="00346BC4" w:rsidRPr="00FE557E" w:rsidRDefault="00346BC4" w:rsidP="00FE557E">
      <w:pPr>
        <w:widowControl/>
        <w:autoSpaceDE/>
        <w:autoSpaceDN/>
        <w:spacing w:after="120"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A proposição respeita os limites da competência tributária estadual, conforme previsto na Constituição Federal e no Código Tributário Nacional, ao estabelecer uma hipótese de isenção tributária em consonância com os princípios da capacidade contributiva e da função social dos tributos.</w:t>
      </w:r>
    </w:p>
    <w:p w14:paraId="4325C642" w14:textId="77777777" w:rsidR="00346BC4" w:rsidRPr="00FE557E" w:rsidRDefault="00346BC4" w:rsidP="00FE557E">
      <w:pPr>
        <w:widowControl/>
        <w:autoSpaceDE/>
        <w:autoSpaceDN/>
        <w:spacing w:after="120" w:line="360" w:lineRule="auto"/>
        <w:ind w:firstLine="720"/>
        <w:jc w:val="both"/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</w:pPr>
      <w:r w:rsidRPr="00FE557E">
        <w:rPr>
          <w:rFonts w:ascii="Arial" w:eastAsiaTheme="minorEastAsia" w:hAnsi="Arial" w:cs="Arial"/>
          <w:color w:val="000000"/>
          <w:sz w:val="24"/>
          <w:szCs w:val="24"/>
          <w:lang w:val="pt-BR" w:eastAsia="pt-BR"/>
        </w:rPr>
        <w:t>Diante disso, solicito o apoio dos nobres parlamentares para aprovação deste Projeto de Lei, confiando em sua sensibilidade para com as demandas reais das mulheres maranhenses e para com a construção de um sistema tributário mais justo e inclusivo.</w:t>
      </w:r>
    </w:p>
    <w:p w14:paraId="1B33A839" w14:textId="5D79497E" w:rsidR="00346BC4" w:rsidRPr="00FE557E" w:rsidRDefault="00346BC4" w:rsidP="00FE557E">
      <w:pPr>
        <w:pStyle w:val="s18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FE557E">
        <w:rPr>
          <w:rStyle w:val="s7"/>
          <w:rFonts w:ascii="Arial" w:hAnsi="Arial" w:cs="Arial"/>
          <w:color w:val="000000"/>
        </w:rPr>
        <w:t>Assembleia</w:t>
      </w:r>
      <w:r w:rsidR="00FE557E">
        <w:rPr>
          <w:rStyle w:val="apple-converted-space"/>
          <w:rFonts w:ascii="Arial" w:hAnsi="Arial" w:cs="Arial"/>
          <w:color w:val="000000"/>
        </w:rPr>
        <w:t xml:space="preserve"> </w:t>
      </w:r>
      <w:r w:rsidRPr="00FE557E">
        <w:rPr>
          <w:rStyle w:val="s7"/>
          <w:rFonts w:ascii="Arial" w:hAnsi="Arial" w:cs="Arial"/>
          <w:color w:val="000000"/>
        </w:rPr>
        <w:t>Legislativa do Estado do Maranhão, em</w:t>
      </w:r>
      <w:r w:rsidR="00FE557E">
        <w:rPr>
          <w:rStyle w:val="apple-converted-space"/>
          <w:rFonts w:ascii="Arial" w:hAnsi="Arial" w:cs="Arial"/>
          <w:color w:val="000000"/>
        </w:rPr>
        <w:t xml:space="preserve"> </w:t>
      </w:r>
      <w:r w:rsidRPr="00FE557E">
        <w:rPr>
          <w:rStyle w:val="s7"/>
          <w:rFonts w:ascii="Arial" w:hAnsi="Arial" w:cs="Arial"/>
          <w:color w:val="000000"/>
        </w:rPr>
        <w:t>1</w:t>
      </w:r>
      <w:r w:rsidR="00FE557E">
        <w:rPr>
          <w:rStyle w:val="s7"/>
          <w:rFonts w:ascii="Arial" w:hAnsi="Arial" w:cs="Arial"/>
          <w:color w:val="000000"/>
        </w:rPr>
        <w:t>3</w:t>
      </w:r>
      <w:r w:rsidRPr="00FE557E">
        <w:rPr>
          <w:rStyle w:val="s7"/>
          <w:rFonts w:ascii="Arial" w:hAnsi="Arial" w:cs="Arial"/>
          <w:color w:val="000000"/>
        </w:rPr>
        <w:t xml:space="preserve"> de maio de 2025</w:t>
      </w:r>
    </w:p>
    <w:p w14:paraId="27C948CF" w14:textId="77777777" w:rsidR="00346BC4" w:rsidRPr="00FE557E" w:rsidRDefault="00346BC4" w:rsidP="00FE557E">
      <w:pPr>
        <w:pStyle w:val="s19"/>
        <w:spacing w:before="0" w:beforeAutospacing="0" w:after="0" w:afterAutospacing="0" w:line="360" w:lineRule="auto"/>
        <w:ind w:firstLine="735"/>
        <w:rPr>
          <w:rFonts w:ascii="Arial" w:hAnsi="Arial" w:cs="Arial"/>
          <w:color w:val="000000"/>
        </w:rPr>
      </w:pPr>
      <w:r w:rsidRPr="00FE557E">
        <w:rPr>
          <w:rFonts w:ascii="Arial" w:hAnsi="Arial" w:cs="Arial"/>
          <w:color w:val="000000"/>
        </w:rPr>
        <w:t> </w:t>
      </w:r>
    </w:p>
    <w:p w14:paraId="6FFAE638" w14:textId="11055273" w:rsidR="00346BC4" w:rsidRPr="00FE557E" w:rsidRDefault="00346BC4" w:rsidP="00FE557E">
      <w:pPr>
        <w:pStyle w:val="s1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075ED4F4" w14:textId="77777777" w:rsidR="00346BC4" w:rsidRPr="00FE557E" w:rsidRDefault="00346BC4" w:rsidP="00FE557E">
      <w:pPr>
        <w:pStyle w:val="s1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FE557E">
        <w:rPr>
          <w:rStyle w:val="s5"/>
          <w:rFonts w:ascii="Arial" w:hAnsi="Arial" w:cs="Arial"/>
          <w:b/>
          <w:bCs/>
          <w:color w:val="000000"/>
        </w:rPr>
        <w:t>Catulé</w:t>
      </w:r>
      <w:proofErr w:type="spellEnd"/>
      <w:r w:rsidRPr="00FE557E">
        <w:rPr>
          <w:rStyle w:val="s5"/>
          <w:rFonts w:ascii="Arial" w:hAnsi="Arial" w:cs="Arial"/>
          <w:b/>
          <w:bCs/>
          <w:color w:val="000000"/>
        </w:rPr>
        <w:t xml:space="preserve"> Júnior</w:t>
      </w:r>
    </w:p>
    <w:p w14:paraId="5C1C499D" w14:textId="77777777" w:rsidR="00346BC4" w:rsidRPr="00FE557E" w:rsidRDefault="00346BC4" w:rsidP="00FE557E">
      <w:pPr>
        <w:pStyle w:val="s18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FE557E">
        <w:rPr>
          <w:rStyle w:val="s7"/>
          <w:rFonts w:ascii="Arial" w:hAnsi="Arial" w:cs="Arial"/>
          <w:color w:val="000000"/>
        </w:rPr>
        <w:t>Deputado Estadual</w:t>
      </w:r>
    </w:p>
    <w:p w14:paraId="4440F5FC" w14:textId="649D521C" w:rsidR="00346BC4" w:rsidRPr="00FE557E" w:rsidRDefault="00346BC4" w:rsidP="00FE557E">
      <w:pPr>
        <w:pStyle w:val="s18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sectPr w:rsidR="00346BC4" w:rsidRPr="00FE557E" w:rsidSect="00B56570">
      <w:headerReference w:type="default" r:id="rId7"/>
      <w:footerReference w:type="default" r:id="rId8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E8E8" w14:textId="77777777" w:rsidR="007A513A" w:rsidRDefault="007A513A">
      <w:r>
        <w:separator/>
      </w:r>
    </w:p>
  </w:endnote>
  <w:endnote w:type="continuationSeparator" w:id="0">
    <w:p w14:paraId="7B06FD93" w14:textId="77777777" w:rsidR="007A513A" w:rsidRDefault="007A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2586" w14:textId="77777777" w:rsidR="007A513A" w:rsidRDefault="007A513A">
      <w:r>
        <w:separator/>
      </w:r>
    </w:p>
  </w:footnote>
  <w:footnote w:type="continuationSeparator" w:id="0">
    <w:p w14:paraId="36137E13" w14:textId="77777777" w:rsidR="007A513A" w:rsidRDefault="007A5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33CC4"/>
    <w:rsid w:val="000F62AE"/>
    <w:rsid w:val="00110D7F"/>
    <w:rsid w:val="00116F27"/>
    <w:rsid w:val="00137355"/>
    <w:rsid w:val="00176474"/>
    <w:rsid w:val="0019552E"/>
    <w:rsid w:val="001B65EC"/>
    <w:rsid w:val="001E0CE3"/>
    <w:rsid w:val="0022450C"/>
    <w:rsid w:val="0026438F"/>
    <w:rsid w:val="002812FA"/>
    <w:rsid w:val="002B3018"/>
    <w:rsid w:val="002C3467"/>
    <w:rsid w:val="00314EDE"/>
    <w:rsid w:val="00346BC4"/>
    <w:rsid w:val="00395306"/>
    <w:rsid w:val="003D642C"/>
    <w:rsid w:val="003D7822"/>
    <w:rsid w:val="00415427"/>
    <w:rsid w:val="00494432"/>
    <w:rsid w:val="004D09D8"/>
    <w:rsid w:val="004F77FD"/>
    <w:rsid w:val="005061D4"/>
    <w:rsid w:val="00672B25"/>
    <w:rsid w:val="006A6A84"/>
    <w:rsid w:val="006F6EBF"/>
    <w:rsid w:val="007A513A"/>
    <w:rsid w:val="007A66EC"/>
    <w:rsid w:val="007E1062"/>
    <w:rsid w:val="0082018E"/>
    <w:rsid w:val="0082386E"/>
    <w:rsid w:val="00841608"/>
    <w:rsid w:val="00891F31"/>
    <w:rsid w:val="008C692F"/>
    <w:rsid w:val="008F67BC"/>
    <w:rsid w:val="00901B08"/>
    <w:rsid w:val="0093430D"/>
    <w:rsid w:val="0095420D"/>
    <w:rsid w:val="00960430"/>
    <w:rsid w:val="00A67DB1"/>
    <w:rsid w:val="00B20E29"/>
    <w:rsid w:val="00B25009"/>
    <w:rsid w:val="00B56570"/>
    <w:rsid w:val="00B77589"/>
    <w:rsid w:val="00BD4F8E"/>
    <w:rsid w:val="00BE1EDE"/>
    <w:rsid w:val="00C23D6A"/>
    <w:rsid w:val="00CF0D1B"/>
    <w:rsid w:val="00D73E9A"/>
    <w:rsid w:val="00DB4100"/>
    <w:rsid w:val="00DB7A0A"/>
    <w:rsid w:val="00DD4147"/>
    <w:rsid w:val="00DF603B"/>
    <w:rsid w:val="00E06ACF"/>
    <w:rsid w:val="00E7744F"/>
    <w:rsid w:val="00E910E8"/>
    <w:rsid w:val="00EB1100"/>
    <w:rsid w:val="00ED408F"/>
    <w:rsid w:val="00EF2A10"/>
    <w:rsid w:val="00F26FE3"/>
    <w:rsid w:val="00F31BAB"/>
    <w:rsid w:val="00F41A02"/>
    <w:rsid w:val="00FB1E1C"/>
    <w:rsid w:val="00FD32F7"/>
    <w:rsid w:val="00FE557E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F603B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346BC4"/>
  </w:style>
  <w:style w:type="paragraph" w:customStyle="1" w:styleId="s18">
    <w:name w:val="s18"/>
    <w:basedOn w:val="Normal"/>
    <w:rsid w:val="00346BC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7">
    <w:name w:val="s7"/>
    <w:basedOn w:val="Fontepargpadro"/>
    <w:rsid w:val="00346BC4"/>
  </w:style>
  <w:style w:type="paragraph" w:customStyle="1" w:styleId="s19">
    <w:name w:val="s19"/>
    <w:basedOn w:val="Normal"/>
    <w:rsid w:val="00346BC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customStyle="1" w:styleId="s11">
    <w:name w:val="s11"/>
    <w:basedOn w:val="Normal"/>
    <w:rsid w:val="00346BC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5">
    <w:name w:val="s5"/>
    <w:basedOn w:val="Fontepargpadro"/>
    <w:rsid w:val="0034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781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Kaline</cp:lastModifiedBy>
  <cp:revision>5</cp:revision>
  <cp:lastPrinted>2025-01-23T19:01:00Z</cp:lastPrinted>
  <dcterms:created xsi:type="dcterms:W3CDTF">2025-05-13T13:24:00Z</dcterms:created>
  <dcterms:modified xsi:type="dcterms:W3CDTF">2025-05-13T13:32:00Z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